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A59F5" w14:textId="3C96B969" w:rsidR="000274C2" w:rsidRPr="00D8143B" w:rsidRDefault="000274C2" w:rsidP="00D8143B">
      <w:pPr>
        <w:pStyle w:val="NormalWeb"/>
        <w:spacing w:before="0" w:beforeAutospacing="0" w:after="0" w:afterAutospacing="0"/>
        <w:rPr>
          <w:rFonts w:ascii="Times New Roman" w:hAnsi="Times New Roman"/>
          <w:b/>
          <w:sz w:val="28"/>
          <w:szCs w:val="28"/>
          <w:u w:val="single"/>
        </w:rPr>
      </w:pPr>
      <w:r w:rsidRPr="00D8143B">
        <w:rPr>
          <w:rFonts w:ascii="Times New Roman" w:hAnsi="Times New Roman"/>
          <w:b/>
          <w:sz w:val="28"/>
          <w:szCs w:val="28"/>
          <w:u w:val="single"/>
        </w:rPr>
        <w:t xml:space="preserve">2016 Final Physician Fee Schedule </w:t>
      </w:r>
    </w:p>
    <w:p w14:paraId="47258B49" w14:textId="77777777" w:rsidR="00D8143B" w:rsidRDefault="00D8143B" w:rsidP="00D8143B">
      <w:pPr>
        <w:pStyle w:val="NormalWeb"/>
        <w:spacing w:before="0" w:beforeAutospacing="0" w:after="0" w:afterAutospacing="0"/>
        <w:rPr>
          <w:rFonts w:ascii="Times New Roman" w:hAnsi="Times New Roman"/>
          <w:b/>
          <w:sz w:val="24"/>
          <w:szCs w:val="24"/>
        </w:rPr>
      </w:pPr>
    </w:p>
    <w:p w14:paraId="78B3895D" w14:textId="62F1B8AA" w:rsidR="00D86EE1" w:rsidRPr="00D861D9" w:rsidRDefault="00D86EE1" w:rsidP="00D8143B">
      <w:pPr>
        <w:pStyle w:val="NormalWeb"/>
        <w:spacing w:before="0" w:beforeAutospacing="0" w:after="0" w:afterAutospacing="0"/>
        <w:rPr>
          <w:rFonts w:ascii="Times New Roman" w:hAnsi="Times New Roman"/>
          <w:color w:val="1F1F1F"/>
          <w:sz w:val="24"/>
          <w:szCs w:val="24"/>
          <w:lang w:eastAsia="ja-JP"/>
        </w:rPr>
      </w:pPr>
      <w:r w:rsidRPr="00D861D9">
        <w:rPr>
          <w:rFonts w:ascii="Times New Roman" w:hAnsi="Times New Roman"/>
          <w:sz w:val="24"/>
          <w:szCs w:val="24"/>
        </w:rPr>
        <w:t xml:space="preserve">On October 30, 2015, the Centers for Medicare and Medicaid Services (CMS) released the final 2016 Physician Fee Schedule (PFS). In the </w:t>
      </w:r>
      <w:hyperlink r:id="rId8" w:history="1">
        <w:r w:rsidRPr="00D861D9">
          <w:rPr>
            <w:rStyle w:val="Hyperlink"/>
            <w:rFonts w:ascii="Times New Roman" w:hAnsi="Times New Roman"/>
            <w:sz w:val="24"/>
            <w:szCs w:val="24"/>
          </w:rPr>
          <w:t>final rule</w:t>
        </w:r>
      </w:hyperlink>
      <w:r w:rsidR="005A3640" w:rsidRPr="00D861D9">
        <w:rPr>
          <w:rFonts w:ascii="Times New Roman" w:hAnsi="Times New Roman"/>
          <w:sz w:val="24"/>
          <w:szCs w:val="24"/>
        </w:rPr>
        <w:t xml:space="preserve">, </w:t>
      </w:r>
      <w:r w:rsidRPr="00D861D9">
        <w:rPr>
          <w:rFonts w:ascii="Times New Roman" w:hAnsi="Times New Roman"/>
          <w:color w:val="1F1F1F"/>
          <w:sz w:val="24"/>
          <w:szCs w:val="24"/>
          <w:lang w:eastAsia="ja-JP"/>
        </w:rPr>
        <w:t xml:space="preserve">CMS </w:t>
      </w:r>
      <w:r w:rsidR="007E61D1" w:rsidRPr="00D861D9">
        <w:rPr>
          <w:rFonts w:ascii="Times New Roman" w:hAnsi="Times New Roman"/>
          <w:color w:val="1F1F1F"/>
          <w:sz w:val="24"/>
          <w:szCs w:val="24"/>
          <w:lang w:eastAsia="ja-JP"/>
        </w:rPr>
        <w:t>finalizes</w:t>
      </w:r>
      <w:r w:rsidR="00D861D9">
        <w:rPr>
          <w:rFonts w:ascii="Times New Roman" w:hAnsi="Times New Roman"/>
          <w:color w:val="1F1F1F"/>
          <w:sz w:val="24"/>
          <w:szCs w:val="24"/>
          <w:lang w:eastAsia="ja-JP"/>
        </w:rPr>
        <w:t xml:space="preserve"> RVUs for Calendar Year (CY)</w:t>
      </w:r>
      <w:r w:rsidRPr="00D861D9">
        <w:rPr>
          <w:rFonts w:ascii="Times New Roman" w:hAnsi="Times New Roman"/>
          <w:color w:val="1F1F1F"/>
          <w:sz w:val="24"/>
          <w:szCs w:val="24"/>
          <w:lang w:eastAsia="ja-JP"/>
        </w:rPr>
        <w:t xml:space="preserve"> 2016 for the PFS and other Medicare Part B payment policies to ensure that CMS payment systems are updated to reflect changes in medical practice and the relative value of services, as well as changes in the statute. </w:t>
      </w:r>
      <w:r w:rsidR="00251C18" w:rsidRPr="00D861D9">
        <w:rPr>
          <w:rFonts w:ascii="Times New Roman" w:hAnsi="Times New Roman"/>
          <w:color w:val="1F1F1F"/>
          <w:sz w:val="24"/>
          <w:szCs w:val="24"/>
          <w:lang w:eastAsia="ja-JP"/>
        </w:rPr>
        <w:t xml:space="preserve">This is the first PFS final rule since the repeal of the Sustainable Growth Rate formula by the Medicare Access and CHIP Reauthorization Act of 2015 (MACRA). </w:t>
      </w:r>
      <w:r w:rsidR="007E61D1" w:rsidRPr="00D861D9">
        <w:rPr>
          <w:rFonts w:ascii="Times New Roman" w:hAnsi="Times New Roman"/>
          <w:color w:val="1F1F1F"/>
          <w:sz w:val="24"/>
          <w:szCs w:val="24"/>
          <w:lang w:eastAsia="ja-JP"/>
        </w:rPr>
        <w:t xml:space="preserve">The final rule goes into effect on January 1, 2016. </w:t>
      </w:r>
      <w:r w:rsidRPr="00D861D9">
        <w:rPr>
          <w:rFonts w:ascii="Times New Roman" w:hAnsi="Times New Roman"/>
          <w:color w:val="1F1F1F"/>
          <w:sz w:val="24"/>
          <w:szCs w:val="24"/>
          <w:lang w:eastAsia="ja-JP"/>
        </w:rPr>
        <w:t xml:space="preserve">CMS is accepting public comments on the final rule until </w:t>
      </w:r>
      <w:r w:rsidR="007E61D1" w:rsidRPr="00D861D9">
        <w:rPr>
          <w:rFonts w:ascii="Times New Roman" w:hAnsi="Times New Roman"/>
          <w:color w:val="1F1F1F"/>
          <w:sz w:val="24"/>
          <w:szCs w:val="24"/>
          <w:lang w:eastAsia="ja-JP"/>
        </w:rPr>
        <w:t xml:space="preserve">5 p.m. EST on </w:t>
      </w:r>
      <w:r w:rsidRPr="00D861D9">
        <w:rPr>
          <w:rFonts w:ascii="Times New Roman" w:hAnsi="Times New Roman"/>
          <w:color w:val="1F1F1F"/>
          <w:sz w:val="24"/>
          <w:szCs w:val="24"/>
          <w:lang w:eastAsia="ja-JP"/>
        </w:rPr>
        <w:t>December 29, 2015</w:t>
      </w:r>
      <w:r w:rsidR="007E61D1" w:rsidRPr="00D861D9">
        <w:rPr>
          <w:rFonts w:ascii="Times New Roman" w:hAnsi="Times New Roman"/>
          <w:color w:val="1F1F1F"/>
          <w:sz w:val="24"/>
          <w:szCs w:val="24"/>
          <w:lang w:eastAsia="ja-JP"/>
        </w:rPr>
        <w:t>.</w:t>
      </w:r>
      <w:r w:rsidRPr="00D861D9">
        <w:rPr>
          <w:rFonts w:ascii="Times New Roman" w:hAnsi="Times New Roman"/>
          <w:color w:val="1F1F1F"/>
          <w:sz w:val="24"/>
          <w:szCs w:val="24"/>
          <w:lang w:eastAsia="ja-JP"/>
        </w:rPr>
        <w:t xml:space="preserve"> </w:t>
      </w:r>
    </w:p>
    <w:p w14:paraId="3E65C4F6" w14:textId="77777777" w:rsidR="00D86EE1" w:rsidRPr="00D861D9" w:rsidRDefault="00D86EE1" w:rsidP="00D8143B">
      <w:pPr>
        <w:pStyle w:val="NormalWeb"/>
        <w:spacing w:before="0" w:beforeAutospacing="0" w:after="0" w:afterAutospacing="0"/>
        <w:rPr>
          <w:rFonts w:ascii="Times New Roman" w:hAnsi="Times New Roman"/>
          <w:color w:val="1F1F1F"/>
          <w:sz w:val="24"/>
          <w:szCs w:val="24"/>
          <w:lang w:eastAsia="ja-JP"/>
        </w:rPr>
      </w:pPr>
    </w:p>
    <w:p w14:paraId="2239D64A" w14:textId="77777777" w:rsidR="007E61D1" w:rsidRPr="00D861D9" w:rsidRDefault="007E61D1" w:rsidP="007E61D1">
      <w:pPr>
        <w:widowControl w:val="0"/>
        <w:autoSpaceDE w:val="0"/>
        <w:autoSpaceDN w:val="0"/>
        <w:adjustRightInd w:val="0"/>
        <w:rPr>
          <w:b/>
          <w:u w:val="single"/>
          <w:lang w:eastAsia="ja-JP"/>
        </w:rPr>
      </w:pPr>
      <w:r w:rsidRPr="00D861D9">
        <w:rPr>
          <w:b/>
          <w:bCs/>
          <w:color w:val="1F1F1F"/>
          <w:u w:val="single"/>
          <w:lang w:eastAsia="ja-JP"/>
        </w:rPr>
        <w:t>Changes to RVUs and Reimbursements for Spine Codes</w:t>
      </w:r>
    </w:p>
    <w:p w14:paraId="1FDE8E21" w14:textId="0EA15881" w:rsidR="007E61D1" w:rsidRPr="00D861D9" w:rsidRDefault="007E61D1" w:rsidP="007E61D1">
      <w:pPr>
        <w:widowControl w:val="0"/>
        <w:autoSpaceDE w:val="0"/>
        <w:autoSpaceDN w:val="0"/>
        <w:adjustRightInd w:val="0"/>
        <w:rPr>
          <w:u w:color="1F1F1F"/>
          <w:lang w:eastAsia="ja-JP"/>
        </w:rPr>
      </w:pPr>
      <w:r w:rsidRPr="00D861D9">
        <w:rPr>
          <w:color w:val="1F1F1F"/>
          <w:u w:color="1F1F1F"/>
          <w:lang w:eastAsia="ja-JP"/>
        </w:rPr>
        <w:t>ISASS staff looked at commonly used CPT</w:t>
      </w:r>
      <w:r w:rsidR="00D861D9" w:rsidRPr="00D861D9">
        <w:rPr>
          <w:rFonts w:ascii="Lucida Grande" w:hAnsi="Lucida Grande" w:cs="Lucida Grande"/>
          <w:b/>
          <w:bCs/>
          <w:color w:val="000000"/>
          <w:vertAlign w:val="superscript"/>
        </w:rPr>
        <w:t>®</w:t>
      </w:r>
      <w:r w:rsidRPr="00D861D9">
        <w:rPr>
          <w:bCs/>
          <w:color w:val="1F1F1F"/>
          <w:u w:color="1F1F1F"/>
          <w:vertAlign w:val="superscript"/>
          <w:lang w:eastAsia="ja-JP"/>
        </w:rPr>
        <w:t xml:space="preserve"> </w:t>
      </w:r>
      <w:r w:rsidRPr="00D861D9">
        <w:rPr>
          <w:color w:val="1F1F1F"/>
          <w:u w:color="1F1F1F"/>
          <w:lang w:eastAsia="ja-JP"/>
        </w:rPr>
        <w:t xml:space="preserve">codes for spine and compared the 2015 final </w:t>
      </w:r>
      <w:bookmarkStart w:id="0" w:name="_GoBack"/>
      <w:bookmarkEnd w:id="0"/>
      <w:r w:rsidRPr="00D861D9">
        <w:rPr>
          <w:color w:val="1F1F1F"/>
          <w:u w:color="1F1F1F"/>
          <w:lang w:eastAsia="ja-JP"/>
        </w:rPr>
        <w:t>RVUs and reimbursements to the final 2016 RVUs and reim</w:t>
      </w:r>
      <w:r w:rsidR="00D861D9">
        <w:rPr>
          <w:color w:val="1F1F1F"/>
          <w:u w:color="1F1F1F"/>
          <w:lang w:eastAsia="ja-JP"/>
        </w:rPr>
        <w:t>bursements in the attached</w:t>
      </w:r>
      <w:r w:rsidRPr="00D861D9">
        <w:rPr>
          <w:color w:val="1F1F1F"/>
          <w:u w:color="1F1F1F"/>
          <w:lang w:eastAsia="ja-JP"/>
        </w:rPr>
        <w:t xml:space="preserve"> spreadsheet. There are </w:t>
      </w:r>
      <w:r w:rsidR="00985054" w:rsidRPr="00D861D9">
        <w:rPr>
          <w:color w:val="1F1F1F"/>
          <w:u w:color="1F1F1F"/>
          <w:lang w:eastAsia="ja-JP"/>
        </w:rPr>
        <w:t>over 200</w:t>
      </w:r>
      <w:r w:rsidRPr="00D861D9">
        <w:rPr>
          <w:color w:val="1F1F1F"/>
          <w:u w:color="1F1F1F"/>
          <w:lang w:eastAsia="ja-JP"/>
        </w:rPr>
        <w:t xml:space="preserve"> codes listed. If you are curious about a procedure </w:t>
      </w:r>
      <w:r w:rsidR="00251C18" w:rsidRPr="00D861D9">
        <w:rPr>
          <w:color w:val="1F1F1F"/>
          <w:u w:color="1F1F1F"/>
          <w:lang w:eastAsia="ja-JP"/>
        </w:rPr>
        <w:t xml:space="preserve">code </w:t>
      </w:r>
      <w:r w:rsidRPr="00D861D9">
        <w:rPr>
          <w:color w:val="1F1F1F"/>
          <w:u w:color="1F1F1F"/>
          <w:lang w:eastAsia="ja-JP"/>
        </w:rPr>
        <w:t>you do not see listed in the spreadsheet, please email ISASS/IASP Director of Health Policy and Advocacy, Liz Vogt (</w:t>
      </w:r>
      <w:hyperlink r:id="rId9" w:history="1">
        <w:r w:rsidRPr="00D861D9">
          <w:rPr>
            <w:color w:val="386EFF"/>
            <w:u w:val="single" w:color="386EFF"/>
            <w:lang w:eastAsia="ja-JP"/>
          </w:rPr>
          <w:t>liz@isass.org</w:t>
        </w:r>
      </w:hyperlink>
      <w:r w:rsidRPr="00D861D9">
        <w:rPr>
          <w:color w:val="1F1F1F"/>
          <w:u w:color="1F1F1F"/>
          <w:lang w:eastAsia="ja-JP"/>
        </w:rPr>
        <w:t>)</w:t>
      </w:r>
      <w:r w:rsidR="00251C18" w:rsidRPr="00D861D9">
        <w:rPr>
          <w:color w:val="1F1F1F"/>
          <w:u w:color="1F1F1F"/>
          <w:lang w:eastAsia="ja-JP"/>
        </w:rPr>
        <w:t xml:space="preserve"> with your inquiry</w:t>
      </w:r>
      <w:r w:rsidRPr="00D861D9">
        <w:rPr>
          <w:color w:val="1F1F1F"/>
          <w:u w:color="1F1F1F"/>
          <w:lang w:eastAsia="ja-JP"/>
        </w:rPr>
        <w:t>. Be sure to pay particular attention to Column M as it shows the difference in reimbursement from 2015 to 2016. The following is a list of codes with a change in reimbursement greater than $100:</w:t>
      </w:r>
    </w:p>
    <w:p w14:paraId="16A710BD" w14:textId="77777777" w:rsidR="007E61D1" w:rsidRPr="00D861D9" w:rsidRDefault="007E61D1" w:rsidP="00D8143B">
      <w:pPr>
        <w:pStyle w:val="NormalWeb"/>
        <w:spacing w:before="0" w:beforeAutospacing="0" w:after="0" w:afterAutospacing="0"/>
        <w:rPr>
          <w:rFonts w:ascii="Times New Roman" w:hAnsi="Times New Roman"/>
          <w:color w:val="1F1F1F"/>
          <w:sz w:val="24"/>
          <w:szCs w:val="24"/>
          <w:lang w:eastAsia="ja-JP"/>
        </w:rPr>
      </w:pPr>
    </w:p>
    <w:p w14:paraId="6FB1E7B0" w14:textId="1CFDD1B1"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22112 </w:t>
      </w:r>
      <w:r w:rsidRPr="00D861D9">
        <w:rPr>
          <w:rFonts w:ascii="Times New Roman" w:hAnsi="Times New Roman"/>
          <w:color w:val="1F1F1F"/>
          <w:sz w:val="24"/>
          <w:szCs w:val="24"/>
          <w:u w:color="1F1F1F"/>
          <w:lang w:eastAsia="ja-JP"/>
        </w:rPr>
        <w:t>(remove part thoracic vertebra)</w:t>
      </w:r>
      <w:r w:rsidR="00C07013" w:rsidRPr="00D861D9">
        <w:rPr>
          <w:rFonts w:ascii="Times New Roman" w:hAnsi="Times New Roman"/>
          <w:color w:val="1F1F1F"/>
          <w:sz w:val="24"/>
          <w:szCs w:val="24"/>
          <w:u w:color="1F1F1F"/>
          <w:lang w:eastAsia="ja-JP"/>
        </w:rPr>
        <w:t xml:space="preserve"> </w:t>
      </w:r>
      <w:r w:rsidR="00C07013" w:rsidRPr="00D861D9">
        <w:rPr>
          <w:rFonts w:ascii="Times New Roman" w:hAnsi="Times New Roman"/>
          <w:color w:val="FF0000"/>
          <w:sz w:val="24"/>
          <w:szCs w:val="24"/>
          <w:u w:color="1F1F1F"/>
          <w:lang w:eastAsia="ja-JP"/>
        </w:rPr>
        <w:t>-$157.55</w:t>
      </w:r>
    </w:p>
    <w:p w14:paraId="36E85D9F" w14:textId="4A57950C"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22856 </w:t>
      </w:r>
      <w:r w:rsidRPr="00D861D9">
        <w:rPr>
          <w:rFonts w:ascii="Times New Roman" w:hAnsi="Times New Roman"/>
          <w:color w:val="1F1F1F"/>
          <w:sz w:val="24"/>
          <w:szCs w:val="24"/>
          <w:u w:color="1F1F1F"/>
          <w:lang w:eastAsia="ja-JP"/>
        </w:rPr>
        <w:t>(pre-sacral fuse with instrumentation L5-S1)</w:t>
      </w:r>
      <w:r w:rsidR="00C07013" w:rsidRPr="00D861D9">
        <w:rPr>
          <w:rFonts w:ascii="Times New Roman" w:hAnsi="Times New Roman"/>
          <w:color w:val="1F1F1F"/>
          <w:sz w:val="24"/>
          <w:szCs w:val="24"/>
          <w:u w:color="1F1F1F"/>
          <w:lang w:eastAsia="ja-JP"/>
        </w:rPr>
        <w:t xml:space="preserve"> </w:t>
      </w:r>
      <w:r w:rsidR="00C07013" w:rsidRPr="00D861D9">
        <w:rPr>
          <w:rFonts w:ascii="Times New Roman" w:hAnsi="Times New Roman"/>
          <w:color w:val="FF0000"/>
          <w:sz w:val="24"/>
          <w:szCs w:val="24"/>
          <w:u w:color="1F1F1F"/>
          <w:lang w:eastAsia="ja-JP"/>
        </w:rPr>
        <w:t>-$239.84</w:t>
      </w:r>
    </w:p>
    <w:p w14:paraId="71B82C39" w14:textId="6C2E614C"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22812 </w:t>
      </w:r>
      <w:r w:rsidRPr="00D861D9">
        <w:rPr>
          <w:rFonts w:ascii="Times New Roman" w:hAnsi="Times New Roman"/>
          <w:color w:val="1F1F1F"/>
          <w:sz w:val="24"/>
          <w:szCs w:val="24"/>
          <w:u w:color="1F1F1F"/>
          <w:lang w:eastAsia="ja-JP"/>
        </w:rPr>
        <w:t>(anterior fusion, 8 or more vertebral segments)</w:t>
      </w:r>
      <w:r w:rsidR="00C07013" w:rsidRPr="00D861D9">
        <w:rPr>
          <w:rFonts w:ascii="Times New Roman" w:hAnsi="Times New Roman"/>
          <w:color w:val="1F1F1F"/>
          <w:sz w:val="24"/>
          <w:szCs w:val="24"/>
          <w:u w:color="1F1F1F"/>
          <w:lang w:eastAsia="ja-JP"/>
        </w:rPr>
        <w:t xml:space="preserve"> $225.39</w:t>
      </w:r>
    </w:p>
    <w:p w14:paraId="38F77D04" w14:textId="61B5839C"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22857 </w:t>
      </w:r>
      <w:r w:rsidRPr="00D861D9">
        <w:rPr>
          <w:rFonts w:ascii="Times New Roman" w:hAnsi="Times New Roman"/>
          <w:color w:val="1F1F1F"/>
          <w:sz w:val="24"/>
          <w:szCs w:val="24"/>
          <w:u w:color="1F1F1F"/>
          <w:lang w:eastAsia="ja-JP"/>
        </w:rPr>
        <w:t>(lumbar artificial discectomy)</w:t>
      </w:r>
      <w:r w:rsidR="00C07013" w:rsidRPr="00D861D9">
        <w:rPr>
          <w:rFonts w:ascii="Times New Roman" w:hAnsi="Times New Roman"/>
          <w:color w:val="1F1F1F"/>
          <w:sz w:val="24"/>
          <w:szCs w:val="24"/>
          <w:u w:color="1F1F1F"/>
          <w:lang w:eastAsia="ja-JP"/>
        </w:rPr>
        <w:t xml:space="preserve"> $202.00</w:t>
      </w:r>
    </w:p>
    <w:p w14:paraId="209332D8" w14:textId="0B86D3FD"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22862 </w:t>
      </w:r>
      <w:r w:rsidRPr="00D861D9">
        <w:rPr>
          <w:rFonts w:ascii="Times New Roman" w:hAnsi="Times New Roman"/>
          <w:color w:val="1F1F1F"/>
          <w:sz w:val="24"/>
          <w:szCs w:val="24"/>
          <w:u w:color="1F1F1F"/>
          <w:lang w:eastAsia="ja-JP"/>
        </w:rPr>
        <w:t>(revise lumbar artificial disc)</w:t>
      </w:r>
      <w:r w:rsidR="00C07013" w:rsidRPr="00D861D9">
        <w:rPr>
          <w:rFonts w:ascii="Times New Roman" w:hAnsi="Times New Roman"/>
          <w:color w:val="1F1F1F"/>
          <w:sz w:val="24"/>
          <w:szCs w:val="24"/>
          <w:u w:color="1F1F1F"/>
          <w:lang w:eastAsia="ja-JP"/>
        </w:rPr>
        <w:t xml:space="preserve"> $257.98</w:t>
      </w:r>
    </w:p>
    <w:p w14:paraId="3D862B8E" w14:textId="022D6A20"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27279 </w:t>
      </w:r>
      <w:r w:rsidRPr="00D861D9">
        <w:rPr>
          <w:rFonts w:ascii="Times New Roman" w:hAnsi="Times New Roman"/>
          <w:color w:val="1F1F1F"/>
          <w:sz w:val="24"/>
          <w:szCs w:val="24"/>
          <w:u w:color="1F1F1F"/>
          <w:lang w:eastAsia="ja-JP"/>
        </w:rPr>
        <w:t>(MIS SIJ fusion)</w:t>
      </w:r>
      <w:r w:rsidR="00C07013" w:rsidRPr="00D861D9">
        <w:rPr>
          <w:rFonts w:ascii="Times New Roman" w:hAnsi="Times New Roman"/>
          <w:color w:val="1F1F1F"/>
          <w:sz w:val="24"/>
          <w:szCs w:val="24"/>
          <w:u w:color="1F1F1F"/>
          <w:lang w:eastAsia="ja-JP"/>
        </w:rPr>
        <w:t xml:space="preserve"> $145.20</w:t>
      </w:r>
    </w:p>
    <w:p w14:paraId="7649A0BE" w14:textId="234D01DA"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27280 </w:t>
      </w:r>
      <w:r w:rsidRPr="00D861D9">
        <w:rPr>
          <w:rFonts w:ascii="Times New Roman" w:hAnsi="Times New Roman"/>
          <w:color w:val="1F1F1F"/>
          <w:sz w:val="24"/>
          <w:szCs w:val="24"/>
          <w:u w:color="1F1F1F"/>
          <w:lang w:eastAsia="ja-JP"/>
        </w:rPr>
        <w:t>(open SIJ fusion)</w:t>
      </w:r>
      <w:r w:rsidR="00C07013" w:rsidRPr="00D861D9">
        <w:rPr>
          <w:rFonts w:ascii="Times New Roman" w:hAnsi="Times New Roman"/>
          <w:color w:val="1F1F1F"/>
          <w:sz w:val="24"/>
          <w:szCs w:val="24"/>
          <w:u w:color="1F1F1F"/>
          <w:lang w:eastAsia="ja-JP"/>
        </w:rPr>
        <w:t xml:space="preserve"> $295.87</w:t>
      </w:r>
    </w:p>
    <w:p w14:paraId="3CE86DC9" w14:textId="74662B6E"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63182 </w:t>
      </w:r>
      <w:r w:rsidRPr="00D861D9">
        <w:rPr>
          <w:rFonts w:ascii="Times New Roman" w:hAnsi="Times New Roman"/>
          <w:color w:val="1F1F1F"/>
          <w:sz w:val="24"/>
          <w:szCs w:val="24"/>
          <w:u w:color="1F1F1F"/>
          <w:lang w:eastAsia="ja-JP"/>
        </w:rPr>
        <w:t>(laminectomy and section of dentate ligaments, with or without dural graft, cervical, more than 2 segments)</w:t>
      </w:r>
      <w:r w:rsidR="00C07013" w:rsidRPr="00D861D9">
        <w:rPr>
          <w:rFonts w:ascii="Times New Roman" w:hAnsi="Times New Roman"/>
          <w:color w:val="1F1F1F"/>
          <w:sz w:val="24"/>
          <w:szCs w:val="24"/>
          <w:u w:color="1F1F1F"/>
          <w:lang w:eastAsia="ja-JP"/>
        </w:rPr>
        <w:t xml:space="preserve"> </w:t>
      </w:r>
      <w:r w:rsidR="00C07013" w:rsidRPr="00D861D9">
        <w:rPr>
          <w:rFonts w:ascii="Times New Roman" w:hAnsi="Times New Roman"/>
          <w:color w:val="FF0000"/>
          <w:sz w:val="24"/>
          <w:szCs w:val="24"/>
          <w:u w:color="1F1F1F"/>
          <w:lang w:eastAsia="ja-JP"/>
        </w:rPr>
        <w:t>-$306.79</w:t>
      </w:r>
    </w:p>
    <w:p w14:paraId="16EFB4D0" w14:textId="3B710B9D"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63195 </w:t>
      </w:r>
      <w:r w:rsidRPr="00D861D9">
        <w:rPr>
          <w:rFonts w:ascii="Times New Roman" w:hAnsi="Times New Roman"/>
          <w:color w:val="1F1F1F"/>
          <w:sz w:val="24"/>
          <w:szCs w:val="24"/>
          <w:u w:color="1F1F1F"/>
          <w:lang w:eastAsia="ja-JP"/>
        </w:rPr>
        <w:t>(laminectomy with cordotomy, thoracic)</w:t>
      </w:r>
      <w:r w:rsidR="00C07013" w:rsidRPr="00D861D9">
        <w:rPr>
          <w:rFonts w:ascii="Times New Roman" w:hAnsi="Times New Roman"/>
          <w:color w:val="1F1F1F"/>
          <w:sz w:val="24"/>
          <w:szCs w:val="24"/>
          <w:u w:color="1F1F1F"/>
          <w:lang w:eastAsia="ja-JP"/>
        </w:rPr>
        <w:t xml:space="preserve"> $426.02</w:t>
      </w:r>
    </w:p>
    <w:p w14:paraId="453BD0C4" w14:textId="375FAA85"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63250 </w:t>
      </w:r>
      <w:r w:rsidRPr="00D861D9">
        <w:rPr>
          <w:rFonts w:ascii="Times New Roman" w:hAnsi="Times New Roman"/>
          <w:color w:val="1F1F1F"/>
          <w:sz w:val="24"/>
          <w:szCs w:val="24"/>
          <w:u w:color="1F1F1F"/>
          <w:lang w:eastAsia="ja-JP"/>
        </w:rPr>
        <w:t>(laminectomy for excision or occlusion of arteriovenous malformation of spinal cord, cervical)</w:t>
      </w:r>
      <w:r w:rsidR="00C07013" w:rsidRPr="00D861D9">
        <w:rPr>
          <w:rFonts w:ascii="Times New Roman" w:hAnsi="Times New Roman"/>
          <w:color w:val="1F1F1F"/>
          <w:sz w:val="24"/>
          <w:szCs w:val="24"/>
          <w:u w:color="1F1F1F"/>
          <w:lang w:eastAsia="ja-JP"/>
        </w:rPr>
        <w:t xml:space="preserve"> </w:t>
      </w:r>
      <w:r w:rsidR="00C07013" w:rsidRPr="00D861D9">
        <w:rPr>
          <w:rFonts w:ascii="Times New Roman" w:hAnsi="Times New Roman"/>
          <w:color w:val="FF0000"/>
          <w:sz w:val="24"/>
          <w:szCs w:val="24"/>
          <w:u w:color="1F1F1F"/>
          <w:lang w:eastAsia="ja-JP"/>
        </w:rPr>
        <w:t>-$210.69</w:t>
      </w:r>
    </w:p>
    <w:p w14:paraId="74E55FB2" w14:textId="6C1D7A7E"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CPT 63305 (</w:t>
      </w:r>
      <w:r w:rsidR="00C07013" w:rsidRPr="00D861D9">
        <w:rPr>
          <w:rFonts w:ascii="Times New Roman" w:hAnsi="Times New Roman"/>
          <w:color w:val="1F1F1F"/>
          <w:sz w:val="24"/>
          <w:szCs w:val="24"/>
          <w:lang w:eastAsia="ja-JP"/>
        </w:rPr>
        <w:t xml:space="preserve">vertebral corpectomy, intradural, thoracic by transthoracic approach) </w:t>
      </w:r>
      <w:r w:rsidR="00C07013" w:rsidRPr="00D861D9">
        <w:rPr>
          <w:rFonts w:ascii="Times New Roman" w:hAnsi="Times New Roman"/>
          <w:color w:val="FF0000"/>
          <w:sz w:val="24"/>
          <w:szCs w:val="24"/>
          <w:lang w:eastAsia="ja-JP"/>
        </w:rPr>
        <w:t>-$106.39</w:t>
      </w:r>
    </w:p>
    <w:p w14:paraId="5BECEE4F" w14:textId="5C611B34"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63306 </w:t>
      </w:r>
      <w:r w:rsidRPr="00D861D9">
        <w:rPr>
          <w:rFonts w:ascii="Times New Roman" w:hAnsi="Times New Roman"/>
          <w:color w:val="1F1F1F"/>
          <w:sz w:val="24"/>
          <w:szCs w:val="24"/>
          <w:u w:color="1F1F1F"/>
          <w:lang w:eastAsia="ja-JP"/>
        </w:rPr>
        <w:t>(vertebral corpectomy, intradural, thoracic by thoracolumbar approach)</w:t>
      </w:r>
      <w:r w:rsidR="00C07013" w:rsidRPr="00D861D9">
        <w:rPr>
          <w:rFonts w:ascii="Times New Roman" w:hAnsi="Times New Roman"/>
          <w:color w:val="1F1F1F"/>
          <w:sz w:val="24"/>
          <w:szCs w:val="24"/>
          <w:u w:color="1F1F1F"/>
          <w:lang w:eastAsia="ja-JP"/>
        </w:rPr>
        <w:t xml:space="preserve"> $339.25</w:t>
      </w:r>
    </w:p>
    <w:p w14:paraId="6AF73673" w14:textId="64FEC71F" w:rsidR="001A7C28" w:rsidRPr="00D861D9" w:rsidRDefault="001A7C28" w:rsidP="001A7C28">
      <w:pPr>
        <w:pStyle w:val="NormalWeb"/>
        <w:numPr>
          <w:ilvl w:val="0"/>
          <w:numId w:val="11"/>
        </w:numPr>
        <w:spacing w:before="0" w:beforeAutospacing="0" w:after="0" w:afterAutospacing="0"/>
        <w:rPr>
          <w:rFonts w:ascii="Times New Roman" w:hAnsi="Times New Roman"/>
          <w:color w:val="1F1F1F"/>
          <w:sz w:val="24"/>
          <w:szCs w:val="24"/>
          <w:lang w:eastAsia="ja-JP"/>
        </w:rPr>
      </w:pPr>
      <w:r w:rsidRPr="00D861D9">
        <w:rPr>
          <w:rFonts w:ascii="Times New Roman" w:hAnsi="Times New Roman"/>
          <w:color w:val="1F1F1F"/>
          <w:sz w:val="24"/>
          <w:szCs w:val="24"/>
          <w:lang w:eastAsia="ja-JP"/>
        </w:rPr>
        <w:t xml:space="preserve">CPT 63307 </w:t>
      </w:r>
      <w:r w:rsidRPr="00D861D9">
        <w:rPr>
          <w:rFonts w:ascii="Times New Roman" w:hAnsi="Times New Roman"/>
          <w:color w:val="1F1F1F"/>
          <w:sz w:val="24"/>
          <w:szCs w:val="24"/>
          <w:u w:color="1F1F1F"/>
          <w:lang w:eastAsia="ja-JP"/>
        </w:rPr>
        <w:t>(vertebral corpectomy, intradural, lumbar or sacral by transpirational or retroperitoneal approach)</w:t>
      </w:r>
      <w:r w:rsidR="00C07013" w:rsidRPr="00D861D9">
        <w:rPr>
          <w:rFonts w:ascii="Times New Roman" w:hAnsi="Times New Roman"/>
          <w:color w:val="1F1F1F"/>
          <w:sz w:val="24"/>
          <w:szCs w:val="24"/>
          <w:u w:color="1F1F1F"/>
          <w:lang w:eastAsia="ja-JP"/>
        </w:rPr>
        <w:t xml:space="preserve"> $139.44</w:t>
      </w:r>
    </w:p>
    <w:p w14:paraId="6141E390" w14:textId="77777777" w:rsidR="00D86EE1" w:rsidRPr="00D861D9" w:rsidRDefault="00D86EE1" w:rsidP="00D8143B">
      <w:pPr>
        <w:pStyle w:val="NormalWeb"/>
        <w:spacing w:before="0" w:beforeAutospacing="0" w:after="0" w:afterAutospacing="0"/>
        <w:rPr>
          <w:rFonts w:ascii="Times New Roman" w:hAnsi="Times New Roman"/>
          <w:b/>
          <w:sz w:val="24"/>
          <w:szCs w:val="24"/>
        </w:rPr>
      </w:pPr>
    </w:p>
    <w:p w14:paraId="69E7A694" w14:textId="77777777" w:rsidR="006A4562" w:rsidRPr="00D861D9" w:rsidRDefault="000274C2" w:rsidP="006A4562">
      <w:pPr>
        <w:pStyle w:val="NormalWeb"/>
        <w:spacing w:before="0" w:beforeAutospacing="0" w:after="0" w:afterAutospacing="0"/>
        <w:rPr>
          <w:rFonts w:ascii="Times New Roman" w:hAnsi="Times New Roman"/>
          <w:b/>
          <w:sz w:val="24"/>
          <w:szCs w:val="24"/>
          <w:u w:val="single"/>
        </w:rPr>
      </w:pPr>
      <w:r w:rsidRPr="00D861D9">
        <w:rPr>
          <w:rFonts w:ascii="Times New Roman" w:hAnsi="Times New Roman"/>
          <w:b/>
          <w:sz w:val="24"/>
          <w:szCs w:val="24"/>
          <w:u w:val="single"/>
        </w:rPr>
        <w:t>Potentially Misvalued Codes</w:t>
      </w:r>
    </w:p>
    <w:p w14:paraId="43064ABF" w14:textId="061E500D" w:rsidR="006A4562" w:rsidRPr="00D861D9" w:rsidRDefault="006A4562" w:rsidP="006A4562">
      <w:pPr>
        <w:pStyle w:val="NormalWeb"/>
        <w:spacing w:before="0" w:beforeAutospacing="0" w:after="0" w:afterAutospacing="0"/>
        <w:rPr>
          <w:rFonts w:ascii="Times New Roman" w:hAnsi="Times New Roman"/>
          <w:b/>
          <w:sz w:val="24"/>
          <w:szCs w:val="24"/>
          <w:u w:val="single"/>
        </w:rPr>
      </w:pPr>
      <w:r w:rsidRPr="00D861D9">
        <w:rPr>
          <w:rFonts w:ascii="Times New Roman" w:hAnsi="Times New Roman"/>
          <w:color w:val="1F1F1F"/>
          <w:sz w:val="24"/>
          <w:szCs w:val="24"/>
          <w:u w:color="1F1F1F"/>
          <w:lang w:eastAsia="ja-JP"/>
        </w:rPr>
        <w:t xml:space="preserve">The Affordable Care Act instructed CMS to identify “misvalued codes” in the </w:t>
      </w:r>
      <w:r w:rsidR="00251C18" w:rsidRPr="00D861D9">
        <w:rPr>
          <w:rFonts w:ascii="Times New Roman" w:hAnsi="Times New Roman"/>
          <w:color w:val="1F1F1F"/>
          <w:sz w:val="24"/>
          <w:szCs w:val="24"/>
          <w:u w:color="1F1F1F"/>
          <w:lang w:eastAsia="ja-JP"/>
        </w:rPr>
        <w:t>PFS</w:t>
      </w:r>
      <w:r w:rsidRPr="00D861D9">
        <w:rPr>
          <w:rFonts w:ascii="Times New Roman" w:hAnsi="Times New Roman"/>
          <w:color w:val="1F1F1F"/>
          <w:sz w:val="24"/>
          <w:szCs w:val="24"/>
          <w:u w:color="1F1F1F"/>
          <w:lang w:eastAsia="ja-JP"/>
        </w:rPr>
        <w:t>, which CMS does through the annual rulemaking process. The Achieving a Better Life Experience Act of 2014</w:t>
      </w:r>
      <w:r w:rsidR="001676A5" w:rsidRPr="00D861D9">
        <w:rPr>
          <w:rFonts w:ascii="Times New Roman" w:hAnsi="Times New Roman"/>
          <w:color w:val="1F1F1F"/>
          <w:sz w:val="24"/>
          <w:szCs w:val="24"/>
          <w:u w:color="1F1F1F"/>
          <w:lang w:eastAsia="ja-JP"/>
        </w:rPr>
        <w:t xml:space="preserve"> (ABLE)</w:t>
      </w:r>
      <w:r w:rsidRPr="00D861D9">
        <w:rPr>
          <w:rFonts w:ascii="Times New Roman" w:hAnsi="Times New Roman"/>
          <w:color w:val="1F1F1F"/>
          <w:sz w:val="24"/>
          <w:szCs w:val="24"/>
          <w:u w:color="1F1F1F"/>
          <w:lang w:eastAsia="ja-JP"/>
        </w:rPr>
        <w:t xml:space="preserve"> set the misvalued code target at 1.0% for 2016. If the estimated net reductions in PFS expenditures resulting from changes in values for </w:t>
      </w:r>
      <w:r w:rsidRPr="00D861D9">
        <w:rPr>
          <w:rFonts w:ascii="Times New Roman" w:hAnsi="Times New Roman"/>
          <w:color w:val="1F1F1F"/>
          <w:sz w:val="24"/>
          <w:szCs w:val="24"/>
          <w:u w:color="1F1F1F"/>
          <w:lang w:eastAsia="ja-JP"/>
        </w:rPr>
        <w:lastRenderedPageBreak/>
        <w:t xml:space="preserve">misvalued codes in 2016 are not equal to or greater than 1.0%, a reduction equal to the percentage difference between target and the estimated net reduction in expenditures resulting from misvalued code reductions must be made to all PFS services. In the 2016 final PFS, CMS has identified changes that achieve 0.23% in net reductions. This requires a 0.77% reduction to all PFS services, as required by the statute. As such, the conversion factor used to calculate reimbursement rates is being lowered </w:t>
      </w:r>
      <w:r w:rsidR="001676A5" w:rsidRPr="00D861D9">
        <w:rPr>
          <w:rFonts w:ascii="Times New Roman" w:hAnsi="Times New Roman"/>
          <w:color w:val="1F1F1F"/>
          <w:sz w:val="24"/>
          <w:szCs w:val="24"/>
          <w:u w:color="1F1F1F"/>
          <w:lang w:eastAsia="ja-JP"/>
        </w:rPr>
        <w:t xml:space="preserve">from 36.1096 in the </w:t>
      </w:r>
      <w:r w:rsidR="00251C18" w:rsidRPr="00D861D9">
        <w:rPr>
          <w:rFonts w:ascii="Times New Roman" w:hAnsi="Times New Roman"/>
          <w:color w:val="1F1F1F"/>
          <w:sz w:val="24"/>
          <w:szCs w:val="24"/>
          <w:u w:color="1F1F1F"/>
          <w:lang w:eastAsia="ja-JP"/>
        </w:rPr>
        <w:t xml:space="preserve">2016 </w:t>
      </w:r>
      <w:r w:rsidR="001676A5" w:rsidRPr="00D861D9">
        <w:rPr>
          <w:rFonts w:ascii="Times New Roman" w:hAnsi="Times New Roman"/>
          <w:color w:val="1F1F1F"/>
          <w:sz w:val="24"/>
          <w:szCs w:val="24"/>
          <w:u w:color="1F1F1F"/>
          <w:lang w:eastAsia="ja-JP"/>
        </w:rPr>
        <w:t xml:space="preserve">proposed rule </w:t>
      </w:r>
      <w:r w:rsidRPr="00D861D9">
        <w:rPr>
          <w:rFonts w:ascii="Times New Roman" w:hAnsi="Times New Roman"/>
          <w:sz w:val="24"/>
          <w:szCs w:val="24"/>
          <w:lang w:eastAsia="ja-JP"/>
        </w:rPr>
        <w:t>to 35.8279</w:t>
      </w:r>
      <w:r w:rsidR="001676A5" w:rsidRPr="00D861D9">
        <w:rPr>
          <w:rFonts w:ascii="Times New Roman" w:hAnsi="Times New Roman"/>
          <w:sz w:val="24"/>
          <w:szCs w:val="24"/>
          <w:lang w:eastAsia="ja-JP"/>
        </w:rPr>
        <w:t xml:space="preserve"> in the </w:t>
      </w:r>
      <w:r w:rsidR="00251C18" w:rsidRPr="00D861D9">
        <w:rPr>
          <w:rFonts w:ascii="Times New Roman" w:hAnsi="Times New Roman"/>
          <w:sz w:val="24"/>
          <w:szCs w:val="24"/>
          <w:lang w:eastAsia="ja-JP"/>
        </w:rPr>
        <w:t xml:space="preserve">2016 </w:t>
      </w:r>
      <w:r w:rsidR="001676A5" w:rsidRPr="00D861D9">
        <w:rPr>
          <w:rFonts w:ascii="Times New Roman" w:hAnsi="Times New Roman"/>
          <w:sz w:val="24"/>
          <w:szCs w:val="24"/>
          <w:lang w:eastAsia="ja-JP"/>
        </w:rPr>
        <w:t>final rule</w:t>
      </w:r>
      <w:r w:rsidRPr="00D861D9">
        <w:rPr>
          <w:rFonts w:ascii="Times New Roman" w:hAnsi="Times New Roman"/>
          <w:sz w:val="24"/>
          <w:szCs w:val="24"/>
          <w:lang w:eastAsia="ja-JP"/>
        </w:rPr>
        <w:t xml:space="preserve">. </w:t>
      </w:r>
      <w:r w:rsidR="001676A5" w:rsidRPr="00D861D9">
        <w:rPr>
          <w:rFonts w:ascii="Times New Roman" w:hAnsi="Times New Roman"/>
          <w:sz w:val="24"/>
          <w:szCs w:val="24"/>
          <w:lang w:eastAsia="ja-JP"/>
        </w:rPr>
        <w:t>T</w:t>
      </w:r>
      <w:r w:rsidRPr="00D861D9">
        <w:rPr>
          <w:rFonts w:ascii="Times New Roman" w:hAnsi="Times New Roman"/>
          <w:sz w:val="24"/>
          <w:szCs w:val="24"/>
          <w:lang w:eastAsia="ja-JP"/>
        </w:rPr>
        <w:t>he reduction in the conversion factor reflects </w:t>
      </w:r>
      <w:r w:rsidR="001676A5" w:rsidRPr="00D861D9">
        <w:rPr>
          <w:rFonts w:ascii="Times New Roman" w:hAnsi="Times New Roman"/>
          <w:sz w:val="24"/>
          <w:szCs w:val="24"/>
          <w:lang w:eastAsia="ja-JP"/>
        </w:rPr>
        <w:t xml:space="preserve">not only the 0.77% target recapture amount to meet the misvalued code target required by ABLE, but also the </w:t>
      </w:r>
      <w:r w:rsidRPr="00D861D9">
        <w:rPr>
          <w:rFonts w:ascii="Times New Roman" w:hAnsi="Times New Roman"/>
          <w:sz w:val="24"/>
          <w:szCs w:val="24"/>
          <w:lang w:eastAsia="ja-JP"/>
        </w:rPr>
        <w:t>budget neutra</w:t>
      </w:r>
      <w:r w:rsidR="001676A5" w:rsidRPr="00D861D9">
        <w:rPr>
          <w:rFonts w:ascii="Times New Roman" w:hAnsi="Times New Roman"/>
          <w:sz w:val="24"/>
          <w:szCs w:val="24"/>
          <w:lang w:eastAsia="ja-JP"/>
        </w:rPr>
        <w:t>lity adjustment and the 0.5% upward</w:t>
      </w:r>
      <w:r w:rsidRPr="00D861D9">
        <w:rPr>
          <w:rFonts w:ascii="Times New Roman" w:hAnsi="Times New Roman"/>
          <w:sz w:val="24"/>
          <w:szCs w:val="24"/>
          <w:lang w:eastAsia="ja-JP"/>
        </w:rPr>
        <w:t xml:space="preserve"> adjustment facto</w:t>
      </w:r>
      <w:r w:rsidR="001676A5" w:rsidRPr="00D861D9">
        <w:rPr>
          <w:rFonts w:ascii="Times New Roman" w:hAnsi="Times New Roman"/>
          <w:sz w:val="24"/>
          <w:szCs w:val="24"/>
          <w:lang w:eastAsia="ja-JP"/>
        </w:rPr>
        <w:t>r specified under MACRA.</w:t>
      </w:r>
      <w:r w:rsidRPr="00D861D9">
        <w:rPr>
          <w:rFonts w:ascii="Times New Roman" w:hAnsi="Times New Roman"/>
          <w:sz w:val="24"/>
          <w:szCs w:val="24"/>
          <w:lang w:eastAsia="ja-JP"/>
        </w:rPr>
        <w:t xml:space="preserve"> </w:t>
      </w:r>
    </w:p>
    <w:p w14:paraId="16BAC113" w14:textId="77777777" w:rsidR="00F011A7" w:rsidRPr="00D861D9" w:rsidRDefault="00F011A7" w:rsidP="00D8143B">
      <w:pPr>
        <w:pStyle w:val="NormalWeb"/>
        <w:spacing w:before="0" w:beforeAutospacing="0" w:after="0" w:afterAutospacing="0"/>
        <w:rPr>
          <w:rFonts w:ascii="Times New Roman" w:hAnsi="Times New Roman"/>
          <w:color w:val="1F1F1F"/>
          <w:sz w:val="24"/>
          <w:szCs w:val="24"/>
          <w:u w:color="1F1F1F"/>
          <w:lang w:eastAsia="ja-JP"/>
        </w:rPr>
      </w:pPr>
    </w:p>
    <w:p w14:paraId="1443EB45" w14:textId="40A008E4" w:rsidR="008D3CC5" w:rsidRPr="00D861D9" w:rsidRDefault="00251C18" w:rsidP="00D8143B">
      <w:pPr>
        <w:pStyle w:val="NormalWeb"/>
        <w:spacing w:before="0" w:beforeAutospacing="0" w:after="0" w:afterAutospacing="0"/>
        <w:rPr>
          <w:rFonts w:ascii="Times New Roman" w:hAnsi="Times New Roman"/>
          <w:color w:val="1F1F1F"/>
          <w:sz w:val="24"/>
          <w:szCs w:val="24"/>
          <w:u w:color="1F1F1F"/>
          <w:lang w:eastAsia="ja-JP"/>
        </w:rPr>
      </w:pPr>
      <w:r w:rsidRPr="00D861D9">
        <w:rPr>
          <w:rFonts w:ascii="Times New Roman" w:hAnsi="Times New Roman"/>
          <w:color w:val="1F1F1F"/>
          <w:sz w:val="24"/>
          <w:szCs w:val="24"/>
          <w:u w:color="1F1F1F"/>
          <w:lang w:eastAsia="ja-JP"/>
        </w:rPr>
        <w:t xml:space="preserve">In the </w:t>
      </w:r>
      <w:r w:rsidR="008D3CC5" w:rsidRPr="00D861D9">
        <w:rPr>
          <w:rFonts w:ascii="Times New Roman" w:hAnsi="Times New Roman"/>
          <w:color w:val="1F1F1F"/>
          <w:sz w:val="24"/>
          <w:szCs w:val="24"/>
          <w:u w:color="1F1F1F"/>
          <w:lang w:eastAsia="ja-JP"/>
        </w:rPr>
        <w:t>2015 PFS rule, CMS proposed and finalized the high expenditure tool as a way to identify potentially misvalued codes in the statutory category of “codes that account for the majority of spending under the PFS.” In the proposed 2016 rule, CMS identified 118 codes as potentially misvalued codes using the high expenditure tool. Specific to spine surgery codes, CMS identified four codes as potentially misvalued:</w:t>
      </w:r>
    </w:p>
    <w:p w14:paraId="065D4EFB" w14:textId="77777777" w:rsidR="00D8143B" w:rsidRPr="00D861D9" w:rsidRDefault="00D8143B" w:rsidP="00D8143B">
      <w:pPr>
        <w:pStyle w:val="NormalWeb"/>
        <w:spacing w:before="0" w:beforeAutospacing="0" w:after="0" w:afterAutospacing="0"/>
        <w:rPr>
          <w:rFonts w:ascii="Times New Roman" w:hAnsi="Times New Roman"/>
          <w:b/>
          <w:sz w:val="24"/>
          <w:szCs w:val="24"/>
        </w:rPr>
      </w:pPr>
    </w:p>
    <w:tbl>
      <w:tblPr>
        <w:tblW w:w="7200" w:type="dxa"/>
        <w:tblInd w:w="378" w:type="dxa"/>
        <w:tblBorders>
          <w:top w:val="nil"/>
          <w:left w:val="nil"/>
          <w:right w:val="nil"/>
        </w:tblBorders>
        <w:tblLayout w:type="fixed"/>
        <w:tblLook w:val="0000" w:firstRow="0" w:lastRow="0" w:firstColumn="0" w:lastColumn="0" w:noHBand="0" w:noVBand="0"/>
      </w:tblPr>
      <w:tblGrid>
        <w:gridCol w:w="2250"/>
        <w:gridCol w:w="4950"/>
      </w:tblGrid>
      <w:tr w:rsidR="000274C2" w:rsidRPr="00D861D9" w14:paraId="4A693C07" w14:textId="77777777" w:rsidTr="000274C2">
        <w:tc>
          <w:tcPr>
            <w:tcW w:w="225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0CA56F04" w14:textId="77777777" w:rsidR="000274C2" w:rsidRPr="00D861D9" w:rsidRDefault="008D3CC5" w:rsidP="00D8143B">
            <w:pPr>
              <w:widowControl w:val="0"/>
              <w:autoSpaceDE w:val="0"/>
              <w:autoSpaceDN w:val="0"/>
              <w:adjustRightInd w:val="0"/>
              <w:rPr>
                <w:u w:color="1F1F1F"/>
                <w:lang w:eastAsia="ja-JP"/>
              </w:rPr>
            </w:pPr>
            <w:r w:rsidRPr="00D861D9">
              <w:rPr>
                <w:b/>
                <w:bCs/>
                <w:color w:val="1F1F1F"/>
                <w:u w:color="1F1F1F"/>
                <w:lang w:eastAsia="ja-JP"/>
              </w:rPr>
              <w:t>Code</w:t>
            </w:r>
          </w:p>
        </w:tc>
        <w:tc>
          <w:tcPr>
            <w:tcW w:w="4950" w:type="dxa"/>
            <w:tcBorders>
              <w:top w:val="single" w:sz="10" w:space="0" w:color="000000"/>
              <w:bottom w:val="single" w:sz="10" w:space="0" w:color="000000"/>
              <w:right w:val="single" w:sz="10" w:space="0" w:color="000000"/>
            </w:tcBorders>
            <w:tcMar>
              <w:top w:w="144" w:type="nil"/>
              <w:right w:w="144" w:type="nil"/>
            </w:tcMar>
          </w:tcPr>
          <w:p w14:paraId="41A0A1BA" w14:textId="77777777" w:rsidR="000274C2" w:rsidRPr="00D861D9" w:rsidRDefault="000274C2" w:rsidP="00D8143B">
            <w:pPr>
              <w:widowControl w:val="0"/>
              <w:autoSpaceDE w:val="0"/>
              <w:autoSpaceDN w:val="0"/>
              <w:adjustRightInd w:val="0"/>
              <w:rPr>
                <w:u w:color="1F1F1F"/>
                <w:lang w:eastAsia="ja-JP"/>
              </w:rPr>
            </w:pPr>
            <w:r w:rsidRPr="00D861D9">
              <w:rPr>
                <w:b/>
                <w:bCs/>
                <w:color w:val="1F1F1F"/>
                <w:u w:color="1F1F1F"/>
                <w:lang w:eastAsia="ja-JP"/>
              </w:rPr>
              <w:t>Descriptor</w:t>
            </w:r>
          </w:p>
        </w:tc>
      </w:tr>
      <w:tr w:rsidR="000274C2" w:rsidRPr="00D861D9" w14:paraId="38A3D2DC" w14:textId="77777777" w:rsidTr="000274C2">
        <w:tblPrEx>
          <w:tblBorders>
            <w:top w:val="none" w:sz="0" w:space="0" w:color="auto"/>
          </w:tblBorders>
        </w:tblPrEx>
        <w:tc>
          <w:tcPr>
            <w:tcW w:w="2250" w:type="dxa"/>
            <w:tcBorders>
              <w:left w:val="single" w:sz="10" w:space="0" w:color="000000"/>
              <w:bottom w:val="single" w:sz="10" w:space="0" w:color="000000"/>
              <w:right w:val="single" w:sz="10" w:space="0" w:color="000000"/>
            </w:tcBorders>
            <w:tcMar>
              <w:top w:w="144" w:type="nil"/>
              <w:right w:w="144" w:type="nil"/>
            </w:tcMar>
          </w:tcPr>
          <w:p w14:paraId="4230C21E" w14:textId="77777777" w:rsidR="000274C2" w:rsidRPr="00D861D9" w:rsidRDefault="000274C2" w:rsidP="00D8143B">
            <w:pPr>
              <w:widowControl w:val="0"/>
              <w:autoSpaceDE w:val="0"/>
              <w:autoSpaceDN w:val="0"/>
              <w:adjustRightInd w:val="0"/>
              <w:rPr>
                <w:u w:color="1F1F1F"/>
                <w:lang w:eastAsia="ja-JP"/>
              </w:rPr>
            </w:pPr>
            <w:r w:rsidRPr="00D861D9">
              <w:rPr>
                <w:color w:val="1F1F1F"/>
                <w:u w:color="1F1F1F"/>
                <w:lang w:eastAsia="ja-JP"/>
              </w:rPr>
              <w:t>22614</w:t>
            </w:r>
          </w:p>
        </w:tc>
        <w:tc>
          <w:tcPr>
            <w:tcW w:w="4950" w:type="dxa"/>
            <w:tcBorders>
              <w:bottom w:val="single" w:sz="10" w:space="0" w:color="000000"/>
              <w:right w:val="single" w:sz="10" w:space="0" w:color="000000"/>
            </w:tcBorders>
            <w:tcMar>
              <w:top w:w="144" w:type="nil"/>
              <w:right w:w="144" w:type="nil"/>
            </w:tcMar>
          </w:tcPr>
          <w:p w14:paraId="6393D01D" w14:textId="77777777" w:rsidR="000274C2" w:rsidRPr="00D861D9" w:rsidRDefault="008D3CC5" w:rsidP="00D8143B">
            <w:pPr>
              <w:widowControl w:val="0"/>
              <w:autoSpaceDE w:val="0"/>
              <w:autoSpaceDN w:val="0"/>
              <w:adjustRightInd w:val="0"/>
              <w:rPr>
                <w:u w:color="1F1F1F"/>
                <w:lang w:eastAsia="ja-JP"/>
              </w:rPr>
            </w:pPr>
            <w:r w:rsidRPr="00D861D9">
              <w:t>Fusion of spine bones, posterior or posterolateral approach</w:t>
            </w:r>
          </w:p>
        </w:tc>
      </w:tr>
      <w:tr w:rsidR="000274C2" w:rsidRPr="00D861D9" w14:paraId="6BEFF428" w14:textId="77777777" w:rsidTr="000274C2">
        <w:tblPrEx>
          <w:tblBorders>
            <w:top w:val="none" w:sz="0" w:space="0" w:color="auto"/>
          </w:tblBorders>
        </w:tblPrEx>
        <w:tc>
          <w:tcPr>
            <w:tcW w:w="2250" w:type="dxa"/>
            <w:tcBorders>
              <w:left w:val="single" w:sz="10" w:space="0" w:color="000000"/>
              <w:bottom w:val="single" w:sz="10" w:space="0" w:color="000000"/>
              <w:right w:val="single" w:sz="10" w:space="0" w:color="000000"/>
            </w:tcBorders>
            <w:tcMar>
              <w:top w:w="144" w:type="nil"/>
              <w:right w:w="144" w:type="nil"/>
            </w:tcMar>
          </w:tcPr>
          <w:p w14:paraId="7FDD1217" w14:textId="77777777" w:rsidR="000274C2" w:rsidRPr="00D861D9" w:rsidRDefault="000274C2" w:rsidP="00D8143B">
            <w:pPr>
              <w:widowControl w:val="0"/>
              <w:autoSpaceDE w:val="0"/>
              <w:autoSpaceDN w:val="0"/>
              <w:adjustRightInd w:val="0"/>
              <w:rPr>
                <w:u w:color="1F1F1F"/>
                <w:lang w:eastAsia="ja-JP"/>
              </w:rPr>
            </w:pPr>
            <w:r w:rsidRPr="00D861D9">
              <w:rPr>
                <w:color w:val="1F1F1F"/>
                <w:u w:color="1F1F1F"/>
                <w:lang w:eastAsia="ja-JP"/>
              </w:rPr>
              <w:t>22840</w:t>
            </w:r>
          </w:p>
        </w:tc>
        <w:tc>
          <w:tcPr>
            <w:tcW w:w="4950" w:type="dxa"/>
            <w:tcBorders>
              <w:bottom w:val="single" w:sz="10" w:space="0" w:color="000000"/>
              <w:right w:val="single" w:sz="10" w:space="0" w:color="000000"/>
            </w:tcBorders>
            <w:tcMar>
              <w:top w:w="144" w:type="nil"/>
              <w:right w:w="144" w:type="nil"/>
            </w:tcMar>
          </w:tcPr>
          <w:p w14:paraId="5F0C0A31" w14:textId="77777777" w:rsidR="000274C2" w:rsidRPr="00D861D9" w:rsidRDefault="008D3CC5" w:rsidP="00D8143B">
            <w:pPr>
              <w:widowControl w:val="0"/>
              <w:autoSpaceDE w:val="0"/>
              <w:autoSpaceDN w:val="0"/>
              <w:adjustRightInd w:val="0"/>
              <w:rPr>
                <w:u w:color="1F1F1F"/>
                <w:lang w:eastAsia="ja-JP"/>
              </w:rPr>
            </w:pPr>
            <w:r w:rsidRPr="00D861D9">
              <w:t>Insertion of posterior spinal instrumentation at base of neck for stabilization, 1 interspace</w:t>
            </w:r>
          </w:p>
        </w:tc>
      </w:tr>
      <w:tr w:rsidR="000274C2" w:rsidRPr="00D861D9" w14:paraId="06C075E2" w14:textId="77777777" w:rsidTr="000274C2">
        <w:tblPrEx>
          <w:tblBorders>
            <w:top w:val="none" w:sz="0" w:space="0" w:color="auto"/>
          </w:tblBorders>
        </w:tblPrEx>
        <w:tc>
          <w:tcPr>
            <w:tcW w:w="2250" w:type="dxa"/>
            <w:tcBorders>
              <w:left w:val="single" w:sz="10" w:space="0" w:color="000000"/>
              <w:bottom w:val="single" w:sz="10" w:space="0" w:color="000000"/>
              <w:right w:val="single" w:sz="10" w:space="0" w:color="000000"/>
            </w:tcBorders>
            <w:tcMar>
              <w:top w:w="144" w:type="nil"/>
              <w:right w:w="144" w:type="nil"/>
            </w:tcMar>
          </w:tcPr>
          <w:p w14:paraId="6F76941F" w14:textId="77777777" w:rsidR="000274C2" w:rsidRPr="00D861D9" w:rsidRDefault="000274C2" w:rsidP="00D8143B">
            <w:pPr>
              <w:widowControl w:val="0"/>
              <w:autoSpaceDE w:val="0"/>
              <w:autoSpaceDN w:val="0"/>
              <w:adjustRightInd w:val="0"/>
              <w:rPr>
                <w:u w:color="1F1F1F"/>
                <w:lang w:eastAsia="ja-JP"/>
              </w:rPr>
            </w:pPr>
            <w:r w:rsidRPr="00D861D9">
              <w:rPr>
                <w:color w:val="1F1F1F"/>
                <w:u w:color="1F1F1F"/>
                <w:lang w:eastAsia="ja-JP"/>
              </w:rPr>
              <w:t>22842</w:t>
            </w:r>
          </w:p>
        </w:tc>
        <w:tc>
          <w:tcPr>
            <w:tcW w:w="4950" w:type="dxa"/>
            <w:tcBorders>
              <w:bottom w:val="single" w:sz="10" w:space="0" w:color="000000"/>
              <w:right w:val="single" w:sz="10" w:space="0" w:color="000000"/>
            </w:tcBorders>
            <w:tcMar>
              <w:top w:w="144" w:type="nil"/>
              <w:right w:w="144" w:type="nil"/>
            </w:tcMar>
          </w:tcPr>
          <w:p w14:paraId="331D5130" w14:textId="77777777" w:rsidR="000274C2" w:rsidRPr="00D861D9" w:rsidRDefault="008D3CC5" w:rsidP="00D8143B">
            <w:pPr>
              <w:widowControl w:val="0"/>
              <w:autoSpaceDE w:val="0"/>
              <w:autoSpaceDN w:val="0"/>
              <w:adjustRightInd w:val="0"/>
              <w:rPr>
                <w:u w:color="1F1F1F"/>
                <w:lang w:eastAsia="ja-JP"/>
              </w:rPr>
            </w:pPr>
            <w:r w:rsidRPr="00D861D9">
              <w:t>Insertion of posterior spinal instrumentation for spinal stabilization, 3 to 6 vertebral segments</w:t>
            </w:r>
          </w:p>
        </w:tc>
      </w:tr>
      <w:tr w:rsidR="000274C2" w:rsidRPr="00D861D9" w14:paraId="62E2067F" w14:textId="77777777" w:rsidTr="000274C2">
        <w:tc>
          <w:tcPr>
            <w:tcW w:w="2250" w:type="dxa"/>
            <w:tcBorders>
              <w:left w:val="single" w:sz="10" w:space="0" w:color="000000"/>
              <w:bottom w:val="single" w:sz="10" w:space="0" w:color="000000"/>
              <w:right w:val="single" w:sz="10" w:space="0" w:color="000000"/>
            </w:tcBorders>
            <w:tcMar>
              <w:top w:w="144" w:type="nil"/>
              <w:right w:w="144" w:type="nil"/>
            </w:tcMar>
          </w:tcPr>
          <w:p w14:paraId="2077119B" w14:textId="77777777" w:rsidR="000274C2" w:rsidRPr="00D861D9" w:rsidRDefault="000274C2" w:rsidP="00D8143B">
            <w:pPr>
              <w:widowControl w:val="0"/>
              <w:autoSpaceDE w:val="0"/>
              <w:autoSpaceDN w:val="0"/>
              <w:adjustRightInd w:val="0"/>
              <w:rPr>
                <w:u w:color="1F1F1F"/>
                <w:lang w:eastAsia="ja-JP"/>
              </w:rPr>
            </w:pPr>
            <w:r w:rsidRPr="00D861D9">
              <w:rPr>
                <w:color w:val="1F1F1F"/>
                <w:u w:color="1F1F1F"/>
                <w:lang w:eastAsia="ja-JP"/>
              </w:rPr>
              <w:t>22845</w:t>
            </w:r>
          </w:p>
        </w:tc>
        <w:tc>
          <w:tcPr>
            <w:tcW w:w="4950" w:type="dxa"/>
            <w:tcBorders>
              <w:bottom w:val="single" w:sz="10" w:space="0" w:color="000000"/>
              <w:right w:val="single" w:sz="10" w:space="0" w:color="000000"/>
            </w:tcBorders>
            <w:tcMar>
              <w:top w:w="144" w:type="nil"/>
              <w:right w:w="144" w:type="nil"/>
            </w:tcMar>
          </w:tcPr>
          <w:p w14:paraId="12EB2B1F" w14:textId="77777777" w:rsidR="000274C2" w:rsidRPr="00D861D9" w:rsidRDefault="008D3CC5" w:rsidP="00D8143B">
            <w:pPr>
              <w:widowControl w:val="0"/>
              <w:autoSpaceDE w:val="0"/>
              <w:autoSpaceDN w:val="0"/>
              <w:adjustRightInd w:val="0"/>
              <w:rPr>
                <w:u w:color="1F1F1F"/>
                <w:lang w:eastAsia="ja-JP"/>
              </w:rPr>
            </w:pPr>
            <w:r w:rsidRPr="00D861D9">
              <w:t>Insertion of anterior spinal instrumentation for spinal stabilization, 2 to 3 vertebral segments</w:t>
            </w:r>
          </w:p>
        </w:tc>
      </w:tr>
    </w:tbl>
    <w:p w14:paraId="44ABB665" w14:textId="77777777" w:rsidR="00D8143B" w:rsidRPr="00D861D9" w:rsidRDefault="00D8143B" w:rsidP="00D8143B">
      <w:pPr>
        <w:pStyle w:val="NormalWeb"/>
        <w:spacing w:before="0" w:beforeAutospacing="0" w:after="0" w:afterAutospacing="0"/>
        <w:rPr>
          <w:rFonts w:ascii="Times New Roman" w:hAnsi="Times New Roman"/>
          <w:sz w:val="24"/>
          <w:szCs w:val="24"/>
        </w:rPr>
      </w:pPr>
    </w:p>
    <w:p w14:paraId="305915BB" w14:textId="4B0F2514" w:rsidR="008A6360" w:rsidRPr="00D861D9" w:rsidRDefault="008D3CC5" w:rsidP="00D8143B">
      <w:pPr>
        <w:pStyle w:val="NormalWeb"/>
        <w:spacing w:before="0" w:beforeAutospacing="0" w:after="0" w:afterAutospacing="0"/>
        <w:rPr>
          <w:rFonts w:ascii="Times New Roman" w:hAnsi="Times New Roman"/>
          <w:sz w:val="24"/>
          <w:szCs w:val="24"/>
        </w:rPr>
      </w:pPr>
      <w:r w:rsidRPr="00D861D9">
        <w:rPr>
          <w:rFonts w:ascii="Times New Roman" w:hAnsi="Times New Roman"/>
          <w:sz w:val="24"/>
          <w:szCs w:val="24"/>
        </w:rPr>
        <w:t>After re</w:t>
      </w:r>
      <w:r w:rsidR="00D8143B" w:rsidRPr="00D861D9">
        <w:rPr>
          <w:rFonts w:ascii="Times New Roman" w:hAnsi="Times New Roman"/>
          <w:sz w:val="24"/>
          <w:szCs w:val="24"/>
        </w:rPr>
        <w:t>viewing comments on the proposed rule</w:t>
      </w:r>
      <w:r w:rsidRPr="00D861D9">
        <w:rPr>
          <w:rFonts w:ascii="Times New Roman" w:hAnsi="Times New Roman"/>
          <w:sz w:val="24"/>
          <w:szCs w:val="24"/>
        </w:rPr>
        <w:t xml:space="preserve">, CMS agreed with commenters that services that are add-ons to the excluded 10- and 90-day global services should be removed from the list of codes identified through the high expenditure screen in order to maintain relativity. Therefore, CMS removed these codes from the </w:t>
      </w:r>
      <w:r w:rsidR="00251C18" w:rsidRPr="00D861D9">
        <w:rPr>
          <w:rFonts w:ascii="Times New Roman" w:hAnsi="Times New Roman"/>
          <w:sz w:val="24"/>
          <w:szCs w:val="24"/>
        </w:rPr>
        <w:t xml:space="preserve">potentially misvalued code </w:t>
      </w:r>
      <w:r w:rsidRPr="00D861D9">
        <w:rPr>
          <w:rFonts w:ascii="Times New Roman" w:hAnsi="Times New Roman"/>
          <w:sz w:val="24"/>
          <w:szCs w:val="24"/>
        </w:rPr>
        <w:t xml:space="preserve">list </w:t>
      </w:r>
      <w:r w:rsidR="001676A5" w:rsidRPr="00D861D9">
        <w:rPr>
          <w:rFonts w:ascii="Times New Roman" w:hAnsi="Times New Roman"/>
          <w:sz w:val="24"/>
          <w:szCs w:val="24"/>
        </w:rPr>
        <w:t xml:space="preserve">in the 2016 PFS final rule </w:t>
      </w:r>
      <w:r w:rsidRPr="00D861D9">
        <w:rPr>
          <w:rFonts w:ascii="Times New Roman" w:hAnsi="Times New Roman"/>
          <w:sz w:val="24"/>
          <w:szCs w:val="24"/>
        </w:rPr>
        <w:t>and these codes will not be reviewed as potentially misvalu</w:t>
      </w:r>
      <w:r w:rsidR="00251C18" w:rsidRPr="00D861D9">
        <w:rPr>
          <w:rFonts w:ascii="Times New Roman" w:hAnsi="Times New Roman"/>
          <w:sz w:val="24"/>
          <w:szCs w:val="24"/>
        </w:rPr>
        <w:t>ed. However, CMS noted that it</w:t>
      </w:r>
      <w:r w:rsidRPr="00D861D9">
        <w:rPr>
          <w:rFonts w:ascii="Times New Roman" w:hAnsi="Times New Roman"/>
          <w:sz w:val="24"/>
          <w:szCs w:val="24"/>
        </w:rPr>
        <w:t xml:space="preserve"> will consider these and similar add-on codes in conjunction with effo</w:t>
      </w:r>
      <w:r w:rsidR="00D8143B" w:rsidRPr="00D861D9">
        <w:rPr>
          <w:rFonts w:ascii="Times New Roman" w:hAnsi="Times New Roman"/>
          <w:sz w:val="24"/>
          <w:szCs w:val="24"/>
        </w:rPr>
        <w:t>rts to improve the valuation of</w:t>
      </w:r>
      <w:r w:rsidRPr="00D861D9">
        <w:rPr>
          <w:rFonts w:ascii="Times New Roman" w:hAnsi="Times New Roman"/>
          <w:sz w:val="24"/>
          <w:szCs w:val="24"/>
        </w:rPr>
        <w:t xml:space="preserve"> the global surgery packages.</w:t>
      </w:r>
    </w:p>
    <w:p w14:paraId="1A06A66C" w14:textId="77777777" w:rsidR="00F13151" w:rsidRPr="00D861D9" w:rsidRDefault="00F13151" w:rsidP="007E61D1">
      <w:pPr>
        <w:pStyle w:val="NormalWeb"/>
        <w:spacing w:before="0" w:beforeAutospacing="0" w:after="0" w:afterAutospacing="0"/>
        <w:rPr>
          <w:rFonts w:ascii="Times New Roman" w:hAnsi="Times New Roman"/>
          <w:b/>
          <w:sz w:val="24"/>
          <w:szCs w:val="24"/>
        </w:rPr>
      </w:pPr>
    </w:p>
    <w:p w14:paraId="05BF6D39" w14:textId="588F44C8" w:rsidR="007E61D1" w:rsidRPr="00D861D9" w:rsidRDefault="00CE5692" w:rsidP="007E61D1">
      <w:pPr>
        <w:pStyle w:val="NormalWeb"/>
        <w:spacing w:before="0" w:beforeAutospacing="0" w:after="0" w:afterAutospacing="0"/>
        <w:rPr>
          <w:rFonts w:ascii="Times New Roman" w:hAnsi="Times New Roman"/>
          <w:b/>
          <w:sz w:val="24"/>
          <w:szCs w:val="24"/>
          <w:u w:val="single"/>
        </w:rPr>
      </w:pPr>
      <w:r w:rsidRPr="00D861D9">
        <w:rPr>
          <w:rFonts w:ascii="Times New Roman" w:hAnsi="Times New Roman"/>
          <w:b/>
          <w:sz w:val="24"/>
          <w:szCs w:val="24"/>
          <w:u w:val="single"/>
        </w:rPr>
        <w:t xml:space="preserve">CMS Actions on Codes with 2015 Interim Final RVUs </w:t>
      </w:r>
    </w:p>
    <w:p w14:paraId="0B8ED6B7" w14:textId="1BCDE1FA" w:rsidR="00D86EE1" w:rsidRPr="00D861D9" w:rsidRDefault="00D86EE1" w:rsidP="007E61D1">
      <w:pPr>
        <w:pStyle w:val="NormalWeb"/>
        <w:spacing w:before="0" w:beforeAutospacing="0" w:after="0" w:afterAutospacing="0"/>
        <w:rPr>
          <w:rFonts w:ascii="Times New Roman" w:hAnsi="Times New Roman"/>
          <w:sz w:val="24"/>
          <w:szCs w:val="24"/>
        </w:rPr>
      </w:pPr>
      <w:r w:rsidRPr="00D861D9">
        <w:rPr>
          <w:rFonts w:ascii="Times New Roman" w:hAnsi="Times New Roman"/>
          <w:sz w:val="24"/>
          <w:szCs w:val="24"/>
        </w:rPr>
        <w:t>CMS finalized the interim final work RVUs for nine spine surgery codes in the 2016 final PFS rule:</w:t>
      </w:r>
    </w:p>
    <w:p w14:paraId="1F0E5293" w14:textId="77777777" w:rsidR="00251C18" w:rsidRPr="00D861D9" w:rsidRDefault="00251C18" w:rsidP="007E61D1">
      <w:pPr>
        <w:pStyle w:val="NormalWeb"/>
        <w:spacing w:before="0" w:beforeAutospacing="0" w:after="0" w:afterAutospacing="0"/>
        <w:rPr>
          <w:rFonts w:ascii="Times New Roman" w:hAnsi="Times New Roman"/>
          <w:sz w:val="24"/>
          <w:szCs w:val="24"/>
        </w:rPr>
      </w:pPr>
    </w:p>
    <w:p w14:paraId="038290DF" w14:textId="77777777" w:rsidR="00251C18" w:rsidRPr="00D861D9" w:rsidRDefault="00251C18" w:rsidP="007E61D1">
      <w:pPr>
        <w:pStyle w:val="NormalWeb"/>
        <w:spacing w:before="0" w:beforeAutospacing="0" w:after="0" w:afterAutospacing="0"/>
        <w:rPr>
          <w:rFonts w:ascii="Times New Roman" w:hAnsi="Times New Roman"/>
          <w:sz w:val="24"/>
          <w:szCs w:val="24"/>
        </w:rPr>
      </w:pPr>
    </w:p>
    <w:p w14:paraId="42FC68B8" w14:textId="77777777" w:rsidR="00251C18" w:rsidRPr="00D861D9" w:rsidRDefault="00251C18" w:rsidP="007E61D1">
      <w:pPr>
        <w:pStyle w:val="NormalWeb"/>
        <w:spacing w:before="0" w:beforeAutospacing="0" w:after="0" w:afterAutospacing="0"/>
        <w:rPr>
          <w:rFonts w:ascii="Times New Roman" w:hAnsi="Times New Roman"/>
          <w:sz w:val="24"/>
          <w:szCs w:val="24"/>
        </w:rPr>
      </w:pPr>
    </w:p>
    <w:p w14:paraId="684A2D0A" w14:textId="77777777" w:rsidR="00251C18" w:rsidRPr="00D861D9" w:rsidRDefault="00251C18" w:rsidP="007E61D1">
      <w:pPr>
        <w:pStyle w:val="NormalWeb"/>
        <w:spacing w:before="0" w:beforeAutospacing="0" w:after="0" w:afterAutospacing="0"/>
        <w:rPr>
          <w:rFonts w:ascii="Times New Roman" w:hAnsi="Times New Roman"/>
          <w:sz w:val="24"/>
          <w:szCs w:val="24"/>
        </w:rPr>
      </w:pPr>
    </w:p>
    <w:p w14:paraId="00AEBC71" w14:textId="77777777" w:rsidR="00251C18" w:rsidRPr="00D861D9" w:rsidRDefault="00251C18" w:rsidP="007E61D1">
      <w:pPr>
        <w:pStyle w:val="NormalWeb"/>
        <w:spacing w:before="0" w:beforeAutospacing="0" w:after="0" w:afterAutospacing="0"/>
        <w:rPr>
          <w:rFonts w:ascii="Times New Roman" w:hAnsi="Times New Roman"/>
          <w:sz w:val="24"/>
          <w:szCs w:val="24"/>
        </w:rPr>
      </w:pPr>
    </w:p>
    <w:p w14:paraId="4A7FEC6E" w14:textId="77777777" w:rsidR="00251C18" w:rsidRDefault="00251C18" w:rsidP="007E61D1">
      <w:pPr>
        <w:pStyle w:val="NormalWeb"/>
        <w:spacing w:before="0" w:beforeAutospacing="0" w:after="0" w:afterAutospacing="0"/>
        <w:rPr>
          <w:rFonts w:ascii="Times New Roman" w:hAnsi="Times New Roman"/>
          <w:sz w:val="24"/>
          <w:szCs w:val="24"/>
        </w:rPr>
      </w:pPr>
    </w:p>
    <w:p w14:paraId="5ECCFA91" w14:textId="77777777" w:rsidR="00D861D9" w:rsidRPr="00D861D9" w:rsidRDefault="00D861D9" w:rsidP="007E61D1">
      <w:pPr>
        <w:pStyle w:val="NormalWeb"/>
        <w:spacing w:before="0" w:beforeAutospacing="0" w:after="0" w:afterAutospacing="0"/>
        <w:rPr>
          <w:rFonts w:ascii="Times New Roman" w:hAnsi="Times New Roman"/>
          <w:sz w:val="24"/>
          <w:szCs w:val="24"/>
        </w:rPr>
      </w:pPr>
    </w:p>
    <w:p w14:paraId="49053C60" w14:textId="77777777" w:rsidR="007E61D1" w:rsidRPr="00D861D9" w:rsidRDefault="007E61D1" w:rsidP="007E61D1">
      <w:pPr>
        <w:pStyle w:val="NormalWeb"/>
        <w:spacing w:before="0" w:beforeAutospacing="0" w:after="0" w:afterAutospacing="0"/>
        <w:rPr>
          <w:rFonts w:ascii="Times New Roman" w:hAnsi="Times New Roman"/>
          <w:b/>
          <w:sz w:val="24"/>
          <w:szCs w:val="24"/>
        </w:rPr>
      </w:pPr>
    </w:p>
    <w:tbl>
      <w:tblPr>
        <w:tblStyle w:val="TableGrid"/>
        <w:tblW w:w="8928" w:type="dxa"/>
        <w:tblLook w:val="04A0" w:firstRow="1" w:lastRow="0" w:firstColumn="1" w:lastColumn="0" w:noHBand="0" w:noVBand="1"/>
      </w:tblPr>
      <w:tblGrid>
        <w:gridCol w:w="816"/>
        <w:gridCol w:w="4967"/>
        <w:gridCol w:w="1079"/>
        <w:gridCol w:w="1076"/>
        <w:gridCol w:w="990"/>
      </w:tblGrid>
      <w:tr w:rsidR="00CE5692" w:rsidRPr="00D861D9" w14:paraId="3032E104" w14:textId="77777777" w:rsidTr="00CE5692">
        <w:tc>
          <w:tcPr>
            <w:tcW w:w="759" w:type="dxa"/>
          </w:tcPr>
          <w:p w14:paraId="0C023475" w14:textId="2AEF2D72" w:rsidR="00CE5692" w:rsidRPr="00D861D9" w:rsidRDefault="00CE5692" w:rsidP="00CE5692">
            <w:pPr>
              <w:pStyle w:val="NormalWeb"/>
              <w:jc w:val="center"/>
              <w:rPr>
                <w:rFonts w:ascii="Times New Roman" w:hAnsi="Times New Roman"/>
                <w:b/>
                <w:sz w:val="24"/>
                <w:szCs w:val="24"/>
              </w:rPr>
            </w:pPr>
            <w:r w:rsidRPr="00D861D9">
              <w:rPr>
                <w:rFonts w:ascii="Times New Roman" w:hAnsi="Times New Roman"/>
                <w:b/>
                <w:sz w:val="24"/>
                <w:szCs w:val="24"/>
              </w:rPr>
              <w:t>Code</w:t>
            </w:r>
          </w:p>
        </w:tc>
        <w:tc>
          <w:tcPr>
            <w:tcW w:w="5019" w:type="dxa"/>
          </w:tcPr>
          <w:p w14:paraId="4BA31650" w14:textId="34AF43D5" w:rsidR="00CE5692" w:rsidRPr="00D861D9" w:rsidRDefault="00CE5692" w:rsidP="00CE5692">
            <w:pPr>
              <w:pStyle w:val="NormalWeb"/>
              <w:jc w:val="center"/>
              <w:rPr>
                <w:rFonts w:ascii="Times New Roman" w:hAnsi="Times New Roman"/>
                <w:b/>
                <w:sz w:val="24"/>
                <w:szCs w:val="24"/>
              </w:rPr>
            </w:pPr>
            <w:r w:rsidRPr="00D861D9">
              <w:rPr>
                <w:rFonts w:ascii="Times New Roman" w:hAnsi="Times New Roman"/>
                <w:b/>
                <w:sz w:val="24"/>
                <w:szCs w:val="24"/>
              </w:rPr>
              <w:t>Descriptor</w:t>
            </w:r>
          </w:p>
        </w:tc>
        <w:tc>
          <w:tcPr>
            <w:tcW w:w="1080" w:type="dxa"/>
          </w:tcPr>
          <w:p w14:paraId="4A9BE28A" w14:textId="718AC75D" w:rsidR="00CE5692" w:rsidRPr="00D861D9" w:rsidRDefault="00CE5692" w:rsidP="00CE5692">
            <w:pPr>
              <w:pStyle w:val="NormalWeb"/>
              <w:jc w:val="center"/>
              <w:rPr>
                <w:rFonts w:ascii="Times New Roman" w:hAnsi="Times New Roman"/>
                <w:b/>
                <w:sz w:val="24"/>
                <w:szCs w:val="24"/>
              </w:rPr>
            </w:pPr>
            <w:r w:rsidRPr="00D861D9">
              <w:rPr>
                <w:rFonts w:ascii="Times New Roman" w:hAnsi="Times New Roman"/>
                <w:b/>
                <w:sz w:val="24"/>
                <w:szCs w:val="24"/>
              </w:rPr>
              <w:t>CY 2015 Interim Final Work RVU</w:t>
            </w:r>
          </w:p>
        </w:tc>
        <w:tc>
          <w:tcPr>
            <w:tcW w:w="1080" w:type="dxa"/>
          </w:tcPr>
          <w:p w14:paraId="594E9C0D" w14:textId="740F26C1" w:rsidR="00CE5692" w:rsidRPr="00D861D9" w:rsidRDefault="00CE5692" w:rsidP="00CE5692">
            <w:pPr>
              <w:pStyle w:val="NormalWeb"/>
              <w:jc w:val="center"/>
              <w:rPr>
                <w:rFonts w:ascii="Times New Roman" w:hAnsi="Times New Roman"/>
                <w:b/>
                <w:sz w:val="24"/>
                <w:szCs w:val="24"/>
              </w:rPr>
            </w:pPr>
            <w:r w:rsidRPr="00D861D9">
              <w:rPr>
                <w:rFonts w:ascii="Times New Roman" w:hAnsi="Times New Roman"/>
                <w:b/>
                <w:sz w:val="24"/>
                <w:szCs w:val="24"/>
              </w:rPr>
              <w:t>CY 2016 Work RVU</w:t>
            </w:r>
          </w:p>
        </w:tc>
        <w:tc>
          <w:tcPr>
            <w:tcW w:w="990" w:type="dxa"/>
          </w:tcPr>
          <w:p w14:paraId="37C58959" w14:textId="1D70AD53" w:rsidR="00CE5692" w:rsidRPr="00D861D9" w:rsidRDefault="00CE5692" w:rsidP="00CE5692">
            <w:pPr>
              <w:pStyle w:val="NormalWeb"/>
              <w:jc w:val="center"/>
              <w:rPr>
                <w:rFonts w:ascii="Times New Roman" w:hAnsi="Times New Roman"/>
                <w:b/>
                <w:sz w:val="24"/>
                <w:szCs w:val="24"/>
              </w:rPr>
            </w:pPr>
            <w:r w:rsidRPr="00D861D9">
              <w:rPr>
                <w:rFonts w:ascii="Times New Roman" w:hAnsi="Times New Roman"/>
                <w:b/>
                <w:sz w:val="24"/>
                <w:szCs w:val="24"/>
              </w:rPr>
              <w:t xml:space="preserve">CY 2016 </w:t>
            </w:r>
            <w:r w:rsidR="00D86EE1" w:rsidRPr="00D861D9">
              <w:rPr>
                <w:rFonts w:ascii="Times New Roman" w:hAnsi="Times New Roman"/>
                <w:b/>
                <w:sz w:val="24"/>
                <w:szCs w:val="24"/>
              </w:rPr>
              <w:t xml:space="preserve">CMS </w:t>
            </w:r>
            <w:r w:rsidRPr="00D861D9">
              <w:rPr>
                <w:rFonts w:ascii="Times New Roman" w:hAnsi="Times New Roman"/>
                <w:b/>
                <w:sz w:val="24"/>
                <w:szCs w:val="24"/>
              </w:rPr>
              <w:t>Action</w:t>
            </w:r>
          </w:p>
        </w:tc>
      </w:tr>
      <w:tr w:rsidR="00CE5692" w:rsidRPr="00D861D9" w14:paraId="0FA3D5FB" w14:textId="77777777" w:rsidTr="00CE5692">
        <w:tc>
          <w:tcPr>
            <w:tcW w:w="759" w:type="dxa"/>
          </w:tcPr>
          <w:p w14:paraId="047FB655" w14:textId="4443A123"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22510</w:t>
            </w:r>
          </w:p>
        </w:tc>
        <w:tc>
          <w:tcPr>
            <w:tcW w:w="5019" w:type="dxa"/>
          </w:tcPr>
          <w:p w14:paraId="32827EEC" w14:textId="39E8B2E2"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vertebroplasty (bone biopsy included when performed), 1 vertebral body, unilateral or bilateral injection, inclusive of all imaging guidance; cervicothoracic</w:t>
            </w:r>
          </w:p>
        </w:tc>
        <w:tc>
          <w:tcPr>
            <w:tcW w:w="1080" w:type="dxa"/>
          </w:tcPr>
          <w:p w14:paraId="534BE55F" w14:textId="6F72F672"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8.15</w:t>
            </w:r>
          </w:p>
        </w:tc>
        <w:tc>
          <w:tcPr>
            <w:tcW w:w="1080" w:type="dxa"/>
          </w:tcPr>
          <w:p w14:paraId="21AB4BD9" w14:textId="28655738"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8.15</w:t>
            </w:r>
          </w:p>
        </w:tc>
        <w:tc>
          <w:tcPr>
            <w:tcW w:w="990" w:type="dxa"/>
          </w:tcPr>
          <w:p w14:paraId="4389919C" w14:textId="52CFD715"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09066FE6" w14:textId="77777777" w:rsidTr="00CE5692">
        <w:tc>
          <w:tcPr>
            <w:tcW w:w="759" w:type="dxa"/>
          </w:tcPr>
          <w:p w14:paraId="1B54BC87" w14:textId="71898E5C"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22511</w:t>
            </w:r>
          </w:p>
        </w:tc>
        <w:tc>
          <w:tcPr>
            <w:tcW w:w="5019" w:type="dxa"/>
          </w:tcPr>
          <w:p w14:paraId="1CD13F51" w14:textId="68E43FFF"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vertebroplasty (bone biopsy included when performed), 1 vertebral body, unilateral or bilateral injection, inclusive of all imaging guidance; lumbosacral</w:t>
            </w:r>
          </w:p>
        </w:tc>
        <w:tc>
          <w:tcPr>
            <w:tcW w:w="1080" w:type="dxa"/>
          </w:tcPr>
          <w:p w14:paraId="2276C9B7" w14:textId="0A7B355F"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7.58</w:t>
            </w:r>
          </w:p>
        </w:tc>
        <w:tc>
          <w:tcPr>
            <w:tcW w:w="1080" w:type="dxa"/>
          </w:tcPr>
          <w:p w14:paraId="4225294D" w14:textId="33BB30D7"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7.58</w:t>
            </w:r>
          </w:p>
        </w:tc>
        <w:tc>
          <w:tcPr>
            <w:tcW w:w="990" w:type="dxa"/>
          </w:tcPr>
          <w:p w14:paraId="26AE552D" w14:textId="2F4D6BD8"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67CECAC7" w14:textId="77777777" w:rsidTr="00CE5692">
        <w:tc>
          <w:tcPr>
            <w:tcW w:w="759" w:type="dxa"/>
          </w:tcPr>
          <w:p w14:paraId="56FF8825" w14:textId="452746AC"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22512</w:t>
            </w:r>
          </w:p>
        </w:tc>
        <w:tc>
          <w:tcPr>
            <w:tcW w:w="5019" w:type="dxa"/>
          </w:tcPr>
          <w:p w14:paraId="2416D91F" w14:textId="18B1395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vertebroplasty (bone biopsy included when performed), 1 vertebral body, unilateral or bilateral injection, inclusive of all imaging guidance; each additional cervicothoracic or lumbosacral vertebral body (List separately in addition to code for primary procedure)</w:t>
            </w:r>
          </w:p>
        </w:tc>
        <w:tc>
          <w:tcPr>
            <w:tcW w:w="1080" w:type="dxa"/>
          </w:tcPr>
          <w:p w14:paraId="1B944066" w14:textId="482EF8BD"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4.00</w:t>
            </w:r>
          </w:p>
        </w:tc>
        <w:tc>
          <w:tcPr>
            <w:tcW w:w="1080" w:type="dxa"/>
          </w:tcPr>
          <w:p w14:paraId="21773D22" w14:textId="4D093823"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4.00</w:t>
            </w:r>
          </w:p>
        </w:tc>
        <w:tc>
          <w:tcPr>
            <w:tcW w:w="990" w:type="dxa"/>
          </w:tcPr>
          <w:p w14:paraId="7670FE0A" w14:textId="75BB6982"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622103AE" w14:textId="77777777" w:rsidTr="00CE5692">
        <w:tc>
          <w:tcPr>
            <w:tcW w:w="759" w:type="dxa"/>
          </w:tcPr>
          <w:p w14:paraId="03462BF5" w14:textId="0ECF1A04"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22513</w:t>
            </w:r>
          </w:p>
        </w:tc>
        <w:tc>
          <w:tcPr>
            <w:tcW w:w="5019" w:type="dxa"/>
          </w:tcPr>
          <w:p w14:paraId="36110C8D" w14:textId="0DABE4D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vertebral augmentation, including cavity creation (fracture reduction and bone biopsy included when performed) using mechanical device (</w:t>
            </w:r>
            <w:r w:rsidR="00D861D9" w:rsidRPr="00D861D9">
              <w:rPr>
                <w:rFonts w:ascii="Times New Roman" w:hAnsi="Times New Roman"/>
                <w:sz w:val="24"/>
                <w:szCs w:val="24"/>
              </w:rPr>
              <w:t>e.g.</w:t>
            </w:r>
            <w:r w:rsidRPr="00D861D9">
              <w:rPr>
                <w:rFonts w:ascii="Times New Roman" w:hAnsi="Times New Roman"/>
                <w:sz w:val="24"/>
                <w:szCs w:val="24"/>
              </w:rPr>
              <w:t>, kyphoplasty), 1 vertebral body, unilateral or bilateral cannulation, inclusive of all imaging guidance; thoracic</w:t>
            </w:r>
          </w:p>
        </w:tc>
        <w:tc>
          <w:tcPr>
            <w:tcW w:w="1080" w:type="dxa"/>
          </w:tcPr>
          <w:p w14:paraId="471B600E" w14:textId="31CB956A"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8.90</w:t>
            </w:r>
          </w:p>
        </w:tc>
        <w:tc>
          <w:tcPr>
            <w:tcW w:w="1080" w:type="dxa"/>
          </w:tcPr>
          <w:p w14:paraId="0040D9F9" w14:textId="6A2FE0A4"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8.90</w:t>
            </w:r>
          </w:p>
        </w:tc>
        <w:tc>
          <w:tcPr>
            <w:tcW w:w="990" w:type="dxa"/>
          </w:tcPr>
          <w:p w14:paraId="52F6D39D" w14:textId="49C9EB50"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0EFAF2A9" w14:textId="77777777" w:rsidTr="00CE5692">
        <w:tc>
          <w:tcPr>
            <w:tcW w:w="759" w:type="dxa"/>
          </w:tcPr>
          <w:p w14:paraId="279703AD" w14:textId="3A25C3A6"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22514</w:t>
            </w:r>
          </w:p>
        </w:tc>
        <w:tc>
          <w:tcPr>
            <w:tcW w:w="5019" w:type="dxa"/>
          </w:tcPr>
          <w:p w14:paraId="6774D90A" w14:textId="05ED5D78"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vertebral augmentation, including cavity creation (fracture reduction and bone biopsy included when performed) using mechanical device (</w:t>
            </w:r>
            <w:r w:rsidR="00D861D9" w:rsidRPr="00D861D9">
              <w:rPr>
                <w:rFonts w:ascii="Times New Roman" w:hAnsi="Times New Roman"/>
                <w:sz w:val="24"/>
                <w:szCs w:val="24"/>
              </w:rPr>
              <w:t>e.g.</w:t>
            </w:r>
            <w:r w:rsidRPr="00D861D9">
              <w:rPr>
                <w:rFonts w:ascii="Times New Roman" w:hAnsi="Times New Roman"/>
                <w:sz w:val="24"/>
                <w:szCs w:val="24"/>
              </w:rPr>
              <w:t>, kyphoplasty), 1 vertebral body, unilateral or bilateral cannulation, inclusive of all imaging guidance; lumbar</w:t>
            </w:r>
          </w:p>
        </w:tc>
        <w:tc>
          <w:tcPr>
            <w:tcW w:w="1080" w:type="dxa"/>
          </w:tcPr>
          <w:p w14:paraId="08B742A2" w14:textId="62553FF1"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8.24</w:t>
            </w:r>
          </w:p>
        </w:tc>
        <w:tc>
          <w:tcPr>
            <w:tcW w:w="1080" w:type="dxa"/>
          </w:tcPr>
          <w:p w14:paraId="7983E6D6" w14:textId="7B82DF42"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8.24</w:t>
            </w:r>
          </w:p>
        </w:tc>
        <w:tc>
          <w:tcPr>
            <w:tcW w:w="990" w:type="dxa"/>
          </w:tcPr>
          <w:p w14:paraId="543BA377" w14:textId="66BBD797"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223A39F4" w14:textId="77777777" w:rsidTr="00CE5692">
        <w:tc>
          <w:tcPr>
            <w:tcW w:w="759" w:type="dxa"/>
          </w:tcPr>
          <w:p w14:paraId="4C3BFC7C" w14:textId="55CF99FC"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22515</w:t>
            </w:r>
          </w:p>
        </w:tc>
        <w:tc>
          <w:tcPr>
            <w:tcW w:w="5019" w:type="dxa"/>
          </w:tcPr>
          <w:p w14:paraId="3451F8A4" w14:textId="61E74BA9"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Percutaneous vertebral augmentation, including cavity creation (fracture reduction and bone biopsy included when performed) using mechanical device (</w:t>
            </w:r>
            <w:r w:rsidR="00D861D9" w:rsidRPr="00D861D9">
              <w:rPr>
                <w:rFonts w:ascii="Times New Roman" w:hAnsi="Times New Roman"/>
                <w:sz w:val="24"/>
                <w:szCs w:val="24"/>
              </w:rPr>
              <w:t>e.g.</w:t>
            </w:r>
            <w:r w:rsidRPr="00D861D9">
              <w:rPr>
                <w:rFonts w:ascii="Times New Roman" w:hAnsi="Times New Roman"/>
                <w:sz w:val="24"/>
                <w:szCs w:val="24"/>
              </w:rPr>
              <w:t>, kyphoplasty), 1 vertebral body, unilateral or bilateral cannulation, inclusive of all imaging guidance; each additional thoracic or lumbar vertebral body (List separately in addition to code for primary procedure)</w:t>
            </w:r>
          </w:p>
        </w:tc>
        <w:tc>
          <w:tcPr>
            <w:tcW w:w="1080" w:type="dxa"/>
          </w:tcPr>
          <w:p w14:paraId="47BC6C04" w14:textId="4F4ABC5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4.00</w:t>
            </w:r>
          </w:p>
        </w:tc>
        <w:tc>
          <w:tcPr>
            <w:tcW w:w="1080" w:type="dxa"/>
          </w:tcPr>
          <w:p w14:paraId="2288B763" w14:textId="0128DC9C"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4.00</w:t>
            </w:r>
          </w:p>
        </w:tc>
        <w:tc>
          <w:tcPr>
            <w:tcW w:w="990" w:type="dxa"/>
          </w:tcPr>
          <w:p w14:paraId="71F013F3" w14:textId="17A3EF37"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0F927FAB" w14:textId="77777777" w:rsidTr="00CE5692">
        <w:tc>
          <w:tcPr>
            <w:tcW w:w="759" w:type="dxa"/>
          </w:tcPr>
          <w:p w14:paraId="2ECE160A" w14:textId="18533AD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22856</w:t>
            </w:r>
          </w:p>
        </w:tc>
        <w:tc>
          <w:tcPr>
            <w:tcW w:w="5019" w:type="dxa"/>
          </w:tcPr>
          <w:p w14:paraId="333053A7" w14:textId="147562D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Total disc arthroplasty (artificial disc), anterior approach, including discectomy with end plate preparation (includes osteophytectomy for nerve root or spinal cord decompression and microdissection); single interspace, cervical</w:t>
            </w:r>
          </w:p>
        </w:tc>
        <w:tc>
          <w:tcPr>
            <w:tcW w:w="1080" w:type="dxa"/>
          </w:tcPr>
          <w:p w14:paraId="6005F539" w14:textId="071CE0B6"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24.05</w:t>
            </w:r>
          </w:p>
        </w:tc>
        <w:tc>
          <w:tcPr>
            <w:tcW w:w="1080" w:type="dxa"/>
          </w:tcPr>
          <w:p w14:paraId="5F9D7774" w14:textId="79E548E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24.05</w:t>
            </w:r>
          </w:p>
        </w:tc>
        <w:tc>
          <w:tcPr>
            <w:tcW w:w="990" w:type="dxa"/>
          </w:tcPr>
          <w:p w14:paraId="36FC7EA0" w14:textId="6C2B5AAA"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1C8D4797" w14:textId="77777777" w:rsidTr="00CE5692">
        <w:tc>
          <w:tcPr>
            <w:tcW w:w="759" w:type="dxa"/>
          </w:tcPr>
          <w:p w14:paraId="023877CD" w14:textId="4C05A306"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22858</w:t>
            </w:r>
          </w:p>
        </w:tc>
        <w:tc>
          <w:tcPr>
            <w:tcW w:w="5019" w:type="dxa"/>
          </w:tcPr>
          <w:p w14:paraId="4B589B2F" w14:textId="7739B76B"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Total disc arthroplasty (artificial disc), anterior approach, including discectomy with end plate preparation (includes osteophytectomy for nerve root or spinal cord decompression and microdissection); second level, cervical (List separately in addition to code for primary procedure)</w:t>
            </w:r>
          </w:p>
        </w:tc>
        <w:tc>
          <w:tcPr>
            <w:tcW w:w="1080" w:type="dxa"/>
          </w:tcPr>
          <w:p w14:paraId="21463E42" w14:textId="56421495"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8.40</w:t>
            </w:r>
          </w:p>
        </w:tc>
        <w:tc>
          <w:tcPr>
            <w:tcW w:w="1080" w:type="dxa"/>
          </w:tcPr>
          <w:p w14:paraId="1ECF2ED7" w14:textId="401C7677"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8.40</w:t>
            </w:r>
          </w:p>
        </w:tc>
        <w:tc>
          <w:tcPr>
            <w:tcW w:w="990" w:type="dxa"/>
          </w:tcPr>
          <w:p w14:paraId="0D449ED0" w14:textId="1EF98102"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r w:rsidR="00CE5692" w:rsidRPr="00D861D9" w14:paraId="6FF6BBAD" w14:textId="77777777" w:rsidTr="00CE5692">
        <w:tc>
          <w:tcPr>
            <w:tcW w:w="759" w:type="dxa"/>
          </w:tcPr>
          <w:p w14:paraId="73001DE8" w14:textId="0F4BF141"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27279</w:t>
            </w:r>
          </w:p>
        </w:tc>
        <w:tc>
          <w:tcPr>
            <w:tcW w:w="5019" w:type="dxa"/>
          </w:tcPr>
          <w:p w14:paraId="66883402" w14:textId="67D856E7"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Arthrodesis, sacroiliac joint, percutaneous or minimally invasive (indirect visualization), with image guidance, includes obtaining bone graft when performed, and placement of transfixing device</w:t>
            </w:r>
          </w:p>
        </w:tc>
        <w:tc>
          <w:tcPr>
            <w:tcW w:w="1080" w:type="dxa"/>
          </w:tcPr>
          <w:p w14:paraId="12400BC4" w14:textId="64D6F208"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9.03</w:t>
            </w:r>
          </w:p>
        </w:tc>
        <w:tc>
          <w:tcPr>
            <w:tcW w:w="1080" w:type="dxa"/>
          </w:tcPr>
          <w:p w14:paraId="3E102C47" w14:textId="2510019D"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9.03</w:t>
            </w:r>
          </w:p>
        </w:tc>
        <w:tc>
          <w:tcPr>
            <w:tcW w:w="990" w:type="dxa"/>
          </w:tcPr>
          <w:p w14:paraId="0D7F83FA" w14:textId="721A9C4E" w:rsidR="00CE5692" w:rsidRPr="00D861D9" w:rsidRDefault="00CE5692" w:rsidP="00CE5692">
            <w:pPr>
              <w:pStyle w:val="NormalWeb"/>
              <w:rPr>
                <w:rFonts w:ascii="Times New Roman" w:hAnsi="Times New Roman"/>
                <w:sz w:val="24"/>
                <w:szCs w:val="24"/>
              </w:rPr>
            </w:pPr>
            <w:r w:rsidRPr="00D861D9">
              <w:rPr>
                <w:rFonts w:ascii="Times New Roman" w:hAnsi="Times New Roman"/>
                <w:sz w:val="24"/>
                <w:szCs w:val="24"/>
              </w:rPr>
              <w:t>Finalize</w:t>
            </w:r>
          </w:p>
        </w:tc>
      </w:tr>
    </w:tbl>
    <w:p w14:paraId="4CC242FA" w14:textId="77777777" w:rsidR="00F13151" w:rsidRPr="00D861D9" w:rsidRDefault="00F13151" w:rsidP="00570865"/>
    <w:p w14:paraId="5669C4CB" w14:textId="4FAA62C6" w:rsidR="00570865" w:rsidRPr="00D861D9" w:rsidRDefault="00251C18" w:rsidP="00570865">
      <w:r w:rsidRPr="00D861D9">
        <w:t xml:space="preserve">Note that </w:t>
      </w:r>
      <w:r w:rsidR="007E61D1" w:rsidRPr="00D861D9">
        <w:t xml:space="preserve">ISASS submitted comments </w:t>
      </w:r>
      <w:r w:rsidRPr="00D861D9">
        <w:t>on the</w:t>
      </w:r>
      <w:r w:rsidR="00712718" w:rsidRPr="00D861D9">
        <w:t xml:space="preserve"> 2015 final PFS </w:t>
      </w:r>
      <w:r w:rsidR="007E61D1" w:rsidRPr="00D861D9">
        <w:t xml:space="preserve">to CMS </w:t>
      </w:r>
      <w:r w:rsidR="00712718" w:rsidRPr="00D861D9">
        <w:t xml:space="preserve">in December 2014 </w:t>
      </w:r>
      <w:r w:rsidR="007E61D1" w:rsidRPr="00D861D9">
        <w:t>expressing disagreement with the interim final work RVU assigned to CPT 27279 (9.03</w:t>
      </w:r>
      <w:r w:rsidR="00712718" w:rsidRPr="00D861D9">
        <w:t xml:space="preserve"> RVUs</w:t>
      </w:r>
      <w:r w:rsidR="00542266" w:rsidRPr="00D861D9">
        <w:t>)</w:t>
      </w:r>
      <w:r w:rsidR="00570865" w:rsidRPr="00D861D9">
        <w:t>. ISASS requested CMS</w:t>
      </w:r>
      <w:r w:rsidR="007E61D1" w:rsidRPr="00D861D9">
        <w:t xml:space="preserve"> refer </w:t>
      </w:r>
      <w:r w:rsidR="00570865" w:rsidRPr="00D861D9">
        <w:t>the code to the</w:t>
      </w:r>
      <w:r w:rsidR="00712718" w:rsidRPr="00D861D9">
        <w:t xml:space="preserve"> Refinement P</w:t>
      </w:r>
      <w:r w:rsidR="007E61D1" w:rsidRPr="00D861D9">
        <w:t>anel</w:t>
      </w:r>
      <w:r w:rsidR="00570865" w:rsidRPr="00D861D9">
        <w:t>, a multi-specialty group of physicians who review new clinical data that was not available at the time of the RUC valuation that might affect work RVUs of interim final codes.</w:t>
      </w:r>
    </w:p>
    <w:p w14:paraId="2D781896" w14:textId="77777777" w:rsidR="00570865" w:rsidRPr="00D861D9" w:rsidRDefault="00570865" w:rsidP="00712718"/>
    <w:p w14:paraId="1C096BED" w14:textId="644C5E03" w:rsidR="00570865" w:rsidRPr="00D861D9" w:rsidRDefault="00D861D9" w:rsidP="00712718">
      <w:r>
        <w:t xml:space="preserve">As part of our refinement panel request, </w:t>
      </w:r>
      <w:r w:rsidR="00712718" w:rsidRPr="00D861D9">
        <w:t xml:space="preserve">ISASS conducted two paired comparison surveys utilizing Rasch </w:t>
      </w:r>
      <w:r w:rsidRPr="00D861D9">
        <w:t>analysis</w:t>
      </w:r>
      <w:r w:rsidR="00712718" w:rsidRPr="00D861D9">
        <w:t xml:space="preserve"> </w:t>
      </w:r>
      <w:r w:rsidR="00F47B7F" w:rsidRPr="00D861D9">
        <w:t xml:space="preserve">on the work involved in CPT 27279. Additionally, </w:t>
      </w:r>
      <w:r w:rsidR="00712718" w:rsidRPr="00D861D9">
        <w:t xml:space="preserve">Dr. David Polly and his colleagues at the University of Minnesota compared time utilization for MIS SIJ fusion and primary lumbar discectomy. The results of </w:t>
      </w:r>
      <w:r w:rsidR="00F47B7F" w:rsidRPr="00D861D9">
        <w:t xml:space="preserve">the </w:t>
      </w:r>
      <w:r w:rsidR="00712718" w:rsidRPr="00D861D9">
        <w:t xml:space="preserve">first paired comparison survey conducted by ISASS in December 2014 suggests that the work RVUs for CPT 27279 should be 14.36; the results of the second paired comparison survey conducted by ISASS and SMISS in March and April 2015 suggests that the work RVUs for CPT 27279 should be 14.1; the study conducted by Dr. David Polly and his colleagues suggests that MIS SI joint fusion requires more physician time and effort than open primary lumbar microdiscectomy and that the work RVUs for MIS SI joint fusion should be at a minimum equal to the work RVUs for open primary lumbar microdiscectomy (13.18). </w:t>
      </w:r>
    </w:p>
    <w:p w14:paraId="71E123CD" w14:textId="77777777" w:rsidR="00570865" w:rsidRPr="00D861D9" w:rsidRDefault="00570865" w:rsidP="00712718"/>
    <w:p w14:paraId="7D4D3AFA" w14:textId="1D2A9C37" w:rsidR="008D3CC5" w:rsidRPr="00D861D9" w:rsidRDefault="00F47B7F">
      <w:r w:rsidRPr="00D861D9">
        <w:t xml:space="preserve">ISASS presented all of this data to the 2015 Multi-Specialty Refinement Panel </w:t>
      </w:r>
      <w:r w:rsidR="00D861D9">
        <w:t xml:space="preserve">hosted by CMS </w:t>
      </w:r>
      <w:r w:rsidRPr="00D861D9">
        <w:t>in August 2015, but d</w:t>
      </w:r>
      <w:r w:rsidR="00570865" w:rsidRPr="00D861D9">
        <w:t>espite the</w:t>
      </w:r>
      <w:r w:rsidR="00712718" w:rsidRPr="00D861D9">
        <w:t xml:space="preserve"> </w:t>
      </w:r>
      <w:r w:rsidRPr="00D861D9">
        <w:t xml:space="preserve">new </w:t>
      </w:r>
      <w:r w:rsidR="00712718" w:rsidRPr="00D861D9">
        <w:t>data</w:t>
      </w:r>
      <w:r w:rsidR="00570865" w:rsidRPr="00D861D9">
        <w:t xml:space="preserve"> suggesting a higher work RVU value</w:t>
      </w:r>
      <w:r w:rsidR="00712718" w:rsidRPr="00D861D9">
        <w:t>, the outcome of the refinement panel was a median of 9.03 work RVUs. After consideration of the comments and the results of the refinement panel, CMS finalized the interim fin</w:t>
      </w:r>
      <w:r w:rsidR="00D861D9">
        <w:t>al work RVU of 9.03 for CPT</w:t>
      </w:r>
      <w:r w:rsidR="00712718" w:rsidRPr="00D861D9">
        <w:t xml:space="preserve"> 27279.</w:t>
      </w:r>
      <w:r w:rsidR="005B2FBE" w:rsidRPr="00D861D9">
        <w:t xml:space="preserve"> It should be noted that </w:t>
      </w:r>
      <w:r w:rsidR="005B2FBE" w:rsidRPr="00D861D9">
        <w:rPr>
          <w:lang w:eastAsia="ja-JP"/>
        </w:rPr>
        <w:t xml:space="preserve">CMS did increase the Practice Expense RVUs from 5.88 to 8.61 and the Malpractice RUVs from 1.14 to </w:t>
      </w:r>
      <w:r w:rsidR="00D861D9" w:rsidRPr="00D861D9">
        <w:rPr>
          <w:lang w:eastAsia="ja-JP"/>
        </w:rPr>
        <w:t>2.51, which</w:t>
      </w:r>
      <w:r w:rsidR="005B2FBE" w:rsidRPr="00D861D9">
        <w:rPr>
          <w:lang w:eastAsia="ja-JP"/>
        </w:rPr>
        <w:t xml:space="preserve"> results in an increase in total RVUs for CPT 27279 from 16.05 to 20.15.</w:t>
      </w:r>
    </w:p>
    <w:p w14:paraId="613C8AB0" w14:textId="77777777" w:rsidR="00F13151" w:rsidRPr="00D861D9" w:rsidRDefault="00F13151" w:rsidP="00F13151">
      <w:pPr>
        <w:pStyle w:val="NormalWeb"/>
        <w:spacing w:before="0" w:beforeAutospacing="0" w:after="0" w:afterAutospacing="0"/>
        <w:rPr>
          <w:rFonts w:ascii="Times New Roman" w:hAnsi="Times New Roman"/>
          <w:b/>
          <w:sz w:val="24"/>
          <w:szCs w:val="24"/>
        </w:rPr>
      </w:pPr>
    </w:p>
    <w:p w14:paraId="0F8C1A72" w14:textId="77777777" w:rsidR="00F13151" w:rsidRPr="00D861D9" w:rsidRDefault="00F13151" w:rsidP="00F13151">
      <w:pPr>
        <w:pStyle w:val="NormalWeb"/>
        <w:spacing w:before="0" w:beforeAutospacing="0" w:after="0" w:afterAutospacing="0"/>
        <w:rPr>
          <w:rFonts w:ascii="Times New Roman" w:hAnsi="Times New Roman"/>
          <w:b/>
          <w:sz w:val="24"/>
          <w:szCs w:val="24"/>
          <w:u w:val="single"/>
        </w:rPr>
      </w:pPr>
      <w:r w:rsidRPr="00D861D9">
        <w:rPr>
          <w:rFonts w:ascii="Times New Roman" w:hAnsi="Times New Roman"/>
          <w:b/>
          <w:sz w:val="24"/>
          <w:szCs w:val="24"/>
          <w:u w:val="single"/>
        </w:rPr>
        <w:t>Changes to Direct Practice Expense Inputs for Vertebroplasy Codes</w:t>
      </w:r>
    </w:p>
    <w:p w14:paraId="0CDF4708" w14:textId="62F17A51" w:rsidR="00F13151" w:rsidRPr="00D861D9" w:rsidRDefault="00251C18" w:rsidP="00F13151">
      <w:pPr>
        <w:pStyle w:val="NormalWeb"/>
        <w:spacing w:before="0" w:beforeAutospacing="0" w:after="0" w:afterAutospacing="0"/>
        <w:rPr>
          <w:rFonts w:ascii="Times New Roman" w:hAnsi="Times New Roman"/>
          <w:sz w:val="24"/>
          <w:szCs w:val="24"/>
        </w:rPr>
      </w:pPr>
      <w:r w:rsidRPr="00D861D9">
        <w:rPr>
          <w:rFonts w:ascii="Times New Roman" w:hAnsi="Times New Roman"/>
          <w:sz w:val="24"/>
          <w:szCs w:val="24"/>
        </w:rPr>
        <w:t>After the publication of the</w:t>
      </w:r>
      <w:r w:rsidR="00F13151" w:rsidRPr="00D861D9">
        <w:rPr>
          <w:rFonts w:ascii="Times New Roman" w:hAnsi="Times New Roman"/>
          <w:sz w:val="24"/>
          <w:szCs w:val="24"/>
        </w:rPr>
        <w:t xml:space="preserve"> 2015 PFS final rule, stakeholders identified several clerical inconsistencies in the clinical labor nonfacility intraservice time for several vertebroplasty codes w</w:t>
      </w:r>
      <w:r w:rsidRPr="00D861D9">
        <w:rPr>
          <w:rFonts w:ascii="Times New Roman" w:hAnsi="Times New Roman"/>
          <w:sz w:val="24"/>
          <w:szCs w:val="24"/>
        </w:rPr>
        <w:t xml:space="preserve">ith interim final values for </w:t>
      </w:r>
      <w:r w:rsidR="00F13151" w:rsidRPr="00D861D9">
        <w:rPr>
          <w:rFonts w:ascii="Times New Roman" w:hAnsi="Times New Roman"/>
          <w:sz w:val="24"/>
          <w:szCs w:val="24"/>
        </w:rPr>
        <w:t>2015. In the 2016 proposed rule, CMS proposed to correct these inconsistencies to reflect the RUC recommended values. Commenters on the 2016 proposed rule noted that there were remaining clinical labor errors beyond those detailed by CMS in the proposed rule. After consideration of comments received, CMS finalized changes to clinical labor inputs that account for the additional corrections identified by commenters:</w:t>
      </w:r>
    </w:p>
    <w:p w14:paraId="6CB4B98C" w14:textId="77777777" w:rsidR="00F13151" w:rsidRPr="00D861D9" w:rsidRDefault="00F13151" w:rsidP="00F13151">
      <w:pPr>
        <w:pStyle w:val="NormalWeb"/>
        <w:numPr>
          <w:ilvl w:val="0"/>
          <w:numId w:val="5"/>
        </w:numPr>
        <w:spacing w:before="0" w:beforeAutospacing="0" w:after="0" w:afterAutospacing="0"/>
        <w:rPr>
          <w:rFonts w:ascii="Times New Roman" w:hAnsi="Times New Roman"/>
          <w:b/>
          <w:sz w:val="24"/>
          <w:szCs w:val="24"/>
        </w:rPr>
      </w:pPr>
      <w:r w:rsidRPr="00D861D9">
        <w:rPr>
          <w:rFonts w:ascii="Times New Roman" w:hAnsi="Times New Roman"/>
          <w:sz w:val="24"/>
          <w:szCs w:val="24"/>
        </w:rPr>
        <w:t xml:space="preserve">For CPT codes 22510 (percutaneous vertebroplasty (bone biopsy included when performed), 1 vertebral body, unilateral or bilateral injection, inclusive of all imaging guidance; cervicothoracic) and 22511 (percutaneous vertebroplasty (bone biopsy included when performed), 1 vertebral body, unilateral or bilateral injection, inclusive of all imaging guidance; lumbosacral), a value of 45 minutes for labor code L041B (“Radiologic Technologist”) CMS finalized the proposal to assign for the “assist physician” task and a value of 5 minutes for labor code L037D (“RN/LPN/MTA”) for the “Check dressings &amp; wound/ home care instructions /coordinate office visits /prescriptions” task. </w:t>
      </w:r>
    </w:p>
    <w:p w14:paraId="6C3F202D" w14:textId="18D1C71C" w:rsidR="00F13151" w:rsidRPr="00D861D9" w:rsidRDefault="00F13151" w:rsidP="00F13151">
      <w:pPr>
        <w:pStyle w:val="NormalWeb"/>
        <w:numPr>
          <w:ilvl w:val="0"/>
          <w:numId w:val="5"/>
        </w:numPr>
        <w:spacing w:before="0" w:beforeAutospacing="0" w:after="0" w:afterAutospacing="0"/>
        <w:rPr>
          <w:rFonts w:ascii="Times New Roman" w:hAnsi="Times New Roman"/>
          <w:sz w:val="24"/>
          <w:szCs w:val="24"/>
        </w:rPr>
      </w:pPr>
      <w:r w:rsidRPr="00D861D9">
        <w:rPr>
          <w:rFonts w:ascii="Times New Roman" w:hAnsi="Times New Roman"/>
          <w:sz w:val="24"/>
          <w:szCs w:val="24"/>
        </w:rPr>
        <w:t>For CPT code 22514 (percutaneous vertebral augmentation, including cavity creation (fracture reduction and bone biopsy included when performed) using mechanical device (</w:t>
      </w:r>
      <w:r w:rsidR="00D861D9" w:rsidRPr="00D861D9">
        <w:rPr>
          <w:rFonts w:ascii="Times New Roman" w:hAnsi="Times New Roman"/>
          <w:sz w:val="24"/>
          <w:szCs w:val="24"/>
        </w:rPr>
        <w:t>e.g.</w:t>
      </w:r>
      <w:r w:rsidRPr="00D861D9">
        <w:rPr>
          <w:rFonts w:ascii="Times New Roman" w:hAnsi="Times New Roman"/>
          <w:sz w:val="24"/>
          <w:szCs w:val="24"/>
        </w:rPr>
        <w:t xml:space="preserve">, kyphoplasty), 1 vertebral body, unilateral or bilateral cannulation, inclusive of all imaging guidance; lumbar), CMS finalized the nonfacility intraservice time of 50 minutes for L041B, 50 minutes for L051A (“RN”), 38 minutes for a second L041B, and 12 minutes for L037D. </w:t>
      </w:r>
    </w:p>
    <w:p w14:paraId="35DE5E47" w14:textId="77777777" w:rsidR="00F011A7" w:rsidRPr="00D861D9" w:rsidRDefault="00F011A7" w:rsidP="00F011A7">
      <w:pPr>
        <w:rPr>
          <w:b/>
          <w:bCs/>
          <w:u w:val="single"/>
        </w:rPr>
      </w:pPr>
    </w:p>
    <w:p w14:paraId="6D1586BC" w14:textId="77777777" w:rsidR="00F011A7" w:rsidRPr="00D861D9" w:rsidRDefault="00F011A7" w:rsidP="00F011A7">
      <w:pPr>
        <w:rPr>
          <w:b/>
          <w:bCs/>
          <w:u w:val="single"/>
        </w:rPr>
      </w:pPr>
    </w:p>
    <w:p w14:paraId="4F149B73" w14:textId="649C5C86" w:rsidR="00F011A7" w:rsidRPr="00D861D9" w:rsidRDefault="00F011A7" w:rsidP="00F011A7">
      <w:pPr>
        <w:rPr>
          <w:b/>
          <w:bCs/>
          <w:u w:val="single"/>
        </w:rPr>
      </w:pPr>
      <w:r w:rsidRPr="00D861D9">
        <w:rPr>
          <w:b/>
          <w:bCs/>
          <w:u w:val="single"/>
        </w:rPr>
        <w:t>Quality Reporting Programs</w:t>
      </w:r>
    </w:p>
    <w:p w14:paraId="5D966109" w14:textId="77777777" w:rsidR="00F011A7" w:rsidRPr="00D861D9" w:rsidRDefault="00F011A7" w:rsidP="00F011A7">
      <w:pPr>
        <w:rPr>
          <w:bCs/>
          <w:u w:val="single"/>
        </w:rPr>
      </w:pPr>
    </w:p>
    <w:p w14:paraId="33141491" w14:textId="15CA6644" w:rsidR="00F011A7" w:rsidRPr="00D861D9" w:rsidRDefault="00F011A7" w:rsidP="00F011A7">
      <w:r w:rsidRPr="00D861D9">
        <w:rPr>
          <w:bCs/>
          <w:u w:val="single"/>
        </w:rPr>
        <w:t>Modifications to the Physician Quality Reporting System</w:t>
      </w:r>
      <w:r w:rsidR="00EA710C" w:rsidRPr="00D861D9">
        <w:rPr>
          <w:bCs/>
          <w:u w:val="single"/>
        </w:rPr>
        <w:t xml:space="preserve"> (PQRS)</w:t>
      </w:r>
    </w:p>
    <w:p w14:paraId="7266AF2A" w14:textId="1193F554" w:rsidR="00F011A7" w:rsidRPr="00D861D9" w:rsidRDefault="00F011A7" w:rsidP="00F011A7">
      <w:r w:rsidRPr="00D861D9">
        <w:t xml:space="preserve">CMS </w:t>
      </w:r>
      <w:r w:rsidR="00EA710C" w:rsidRPr="00D861D9">
        <w:t xml:space="preserve">is finalizing </w:t>
      </w:r>
      <w:r w:rsidRPr="00D861D9">
        <w:t xml:space="preserve">requirements for the 2018 PQRS payment adjustment consistent with the requirements for the 2017 PQRS payment </w:t>
      </w:r>
      <w:r w:rsidR="00EA710C" w:rsidRPr="00D861D9">
        <w:t xml:space="preserve">adjustment; </w:t>
      </w:r>
      <w:r w:rsidRPr="00D861D9">
        <w:t>CMS establishes the same criteria for satisfactory reporting that was established for the 2017 PQRS payment adjustment, which is generally to require the reporting of nine measures covering three National Quality Strat</w:t>
      </w:r>
      <w:r w:rsidR="00EA710C" w:rsidRPr="00D861D9">
        <w:t>egy domains. If an individual eligible professional</w:t>
      </w:r>
      <w:r w:rsidRPr="00D861D9">
        <w:t xml:space="preserve"> or group practice does not satisfactorily report or satisfactorily participa</w:t>
      </w:r>
      <w:r w:rsidR="00EA710C" w:rsidRPr="00D861D9">
        <w:t>te in PQRS for 2016, a 2%</w:t>
      </w:r>
      <w:r w:rsidRPr="00D861D9">
        <w:t xml:space="preserve"> negative payment adjustment will apply to covered professional services furnished </w:t>
      </w:r>
      <w:r w:rsidR="00EA710C" w:rsidRPr="00D861D9">
        <w:t>by that individual eligible professional</w:t>
      </w:r>
      <w:r w:rsidRPr="00D861D9">
        <w:t xml:space="preserve"> or group practice during 2018.</w:t>
      </w:r>
    </w:p>
    <w:p w14:paraId="429D2468" w14:textId="77777777" w:rsidR="00F011A7" w:rsidRPr="00D861D9" w:rsidRDefault="00F011A7" w:rsidP="00F011A7"/>
    <w:p w14:paraId="685ADC6F" w14:textId="218A7B4E" w:rsidR="00F011A7" w:rsidRPr="00D861D9" w:rsidRDefault="00F011A7" w:rsidP="00F011A7">
      <w:r w:rsidRPr="00D861D9">
        <w:t>There will be 281 measures in the PQRS measure set and 18 measures in the GPRO Web Interface for 2016. Also, as recently authorized under MACRA, CMS is adding a reporting option that will allow group practices to report quality measure data using a Qualified Clinical Data Registry (QCDR).</w:t>
      </w:r>
    </w:p>
    <w:p w14:paraId="58A92ACA" w14:textId="77777777" w:rsidR="00F011A7" w:rsidRPr="00D861D9" w:rsidRDefault="00F011A7" w:rsidP="00F011A7"/>
    <w:p w14:paraId="00C78A09" w14:textId="2896F085" w:rsidR="00F011A7" w:rsidRPr="00D861D9" w:rsidRDefault="00F011A7" w:rsidP="00F011A7">
      <w:r w:rsidRPr="00D861D9">
        <w:t>Please note that the 2018 PQRS payment adjustment is the last adjustment that will be issued under the PQRS. Starting in 2019, adjustments to payment for quality reporting and other factors will be made under the Merit-Based Incentive Payment System (MIPS), as required by MACRA. CMS sought comment related to o</w:t>
      </w:r>
      <w:r w:rsidR="00251C18" w:rsidRPr="00D861D9">
        <w:t xml:space="preserve">ther MACRA provisions in the </w:t>
      </w:r>
      <w:r w:rsidRPr="00D861D9">
        <w:t>2016 PFS proposed rule and in a previously published Request for Information.</w:t>
      </w:r>
    </w:p>
    <w:p w14:paraId="6CDB5DD9" w14:textId="77777777" w:rsidR="00F011A7" w:rsidRPr="00D861D9" w:rsidRDefault="00F011A7" w:rsidP="00F011A7">
      <w:pPr>
        <w:rPr>
          <w:b/>
          <w:bCs/>
          <w:u w:val="single"/>
        </w:rPr>
      </w:pPr>
    </w:p>
    <w:p w14:paraId="02072A7A" w14:textId="77777777" w:rsidR="00F011A7" w:rsidRPr="00D861D9" w:rsidRDefault="00F011A7" w:rsidP="00F011A7">
      <w:r w:rsidRPr="00D861D9">
        <w:rPr>
          <w:bCs/>
          <w:u w:val="single"/>
        </w:rPr>
        <w:t>Physician Compare</w:t>
      </w:r>
    </w:p>
    <w:p w14:paraId="67F54E6E" w14:textId="4EBBB177" w:rsidR="00F011A7" w:rsidRPr="00D861D9" w:rsidRDefault="00EA710C" w:rsidP="00F011A7">
      <w:r w:rsidRPr="00D861D9">
        <w:t>C</w:t>
      </w:r>
      <w:r w:rsidR="00F011A7" w:rsidRPr="00D861D9">
        <w:t>MS will continu</w:t>
      </w:r>
      <w:r w:rsidRPr="00D861D9">
        <w:t>e to make all 2016 individual eligible professional</w:t>
      </w:r>
      <w:r w:rsidR="00F011A7" w:rsidRPr="00D861D9">
        <w:t xml:space="preserve"> and group practice PQRS measures available for public reporting. CMS is also finalizing the following proposals:</w:t>
      </w:r>
    </w:p>
    <w:p w14:paraId="3DFEA6F5" w14:textId="62CE67D1" w:rsidR="00F011A7" w:rsidRPr="00D861D9" w:rsidRDefault="00F011A7" w:rsidP="00F011A7">
      <w:pPr>
        <w:numPr>
          <w:ilvl w:val="0"/>
          <w:numId w:val="1"/>
        </w:numPr>
      </w:pPr>
      <w:r w:rsidRPr="00D861D9">
        <w:t>To include an indicator on profile pages for individu</w:t>
      </w:r>
      <w:r w:rsidR="00EA710C" w:rsidRPr="00D861D9">
        <w:t xml:space="preserve">al eligible professionals </w:t>
      </w:r>
      <w:r w:rsidRPr="00D861D9">
        <w:t>who satisfactorily report the new PQRS Cardiovascular Prevention measures group in support of the Million Hearts initiative;</w:t>
      </w:r>
    </w:p>
    <w:p w14:paraId="6D57D374" w14:textId="044A4F81" w:rsidR="00F011A7" w:rsidRPr="00D861D9" w:rsidRDefault="00F011A7" w:rsidP="00F011A7">
      <w:pPr>
        <w:numPr>
          <w:ilvl w:val="0"/>
          <w:numId w:val="1"/>
        </w:numPr>
      </w:pPr>
      <w:r w:rsidRPr="00D861D9">
        <w:t xml:space="preserve">To continue making individual-level </w:t>
      </w:r>
      <w:r w:rsidR="00EA710C" w:rsidRPr="00D861D9">
        <w:t>Qualified Clinical Data Registry (QCDR)</w:t>
      </w:r>
      <w:r w:rsidRPr="00D861D9">
        <w:t xml:space="preserve"> measures available for public reporting, and, new to 2016, to publicly report group-level QCDR measures;</w:t>
      </w:r>
    </w:p>
    <w:p w14:paraId="41F53DBC" w14:textId="601F80DE" w:rsidR="00EA710C" w:rsidRPr="00D861D9" w:rsidRDefault="00F011A7" w:rsidP="00EA710C">
      <w:pPr>
        <w:numPr>
          <w:ilvl w:val="0"/>
          <w:numId w:val="1"/>
        </w:numPr>
      </w:pPr>
      <w:r w:rsidRPr="00D861D9">
        <w:t>To publicly report an item (or measure)-level benchmark derived using the Achievable Benchmark of Care (</w:t>
      </w:r>
      <w:r w:rsidR="00EA710C" w:rsidRPr="00D861D9">
        <w:t>ABC™) methodology;</w:t>
      </w:r>
    </w:p>
    <w:p w14:paraId="1EBD52D5" w14:textId="3384E5CA" w:rsidR="00EA710C" w:rsidRPr="00D861D9" w:rsidRDefault="00EA710C" w:rsidP="00EA710C">
      <w:pPr>
        <w:pStyle w:val="ListParagraph"/>
        <w:numPr>
          <w:ilvl w:val="0"/>
          <w:numId w:val="10"/>
        </w:numPr>
      </w:pPr>
      <w:r w:rsidRPr="00D861D9">
        <w:t>CMS is finalizing the proposal to publicly report an item-level benchmark for group practice and individual eligible professional PQRS measures using the ABC me</w:t>
      </w:r>
      <w:r w:rsidR="00D861D9" w:rsidRPr="00D861D9">
        <w:t>thodology; t</w:t>
      </w:r>
      <w:r w:rsidRPr="00D861D9">
        <w:t>he benchmark will be stratified by reporting mechanism to ensure comparability and reduce the interpretation burden for consumers. On Physician Compare, the benchmark will be displayed as a five-star rating. CMS will conduct analysis and stakeholder outreach around the star attribution methodology prior to public reporting in 2017.</w:t>
      </w:r>
    </w:p>
    <w:p w14:paraId="10B11D3D" w14:textId="77777777" w:rsidR="00F011A7" w:rsidRPr="00D861D9" w:rsidRDefault="00F011A7" w:rsidP="00F011A7">
      <w:pPr>
        <w:numPr>
          <w:ilvl w:val="0"/>
          <w:numId w:val="1"/>
        </w:numPr>
      </w:pPr>
      <w:r w:rsidRPr="00D861D9">
        <w:t>To include in the downloadable database the Value Modifier tiers for cost and quality, noting if the group practice or EP is high, low, or neutral on cost and quality; a notation of the payment adjustment received based on the cost and quality tiers; and an indication if the individual EP or group practice was eligible to but did not report quality measures to CMS; and</w:t>
      </w:r>
    </w:p>
    <w:p w14:paraId="75BB76BD" w14:textId="77777777" w:rsidR="00F011A7" w:rsidRPr="00D861D9" w:rsidRDefault="00F011A7" w:rsidP="00F011A7">
      <w:pPr>
        <w:numPr>
          <w:ilvl w:val="0"/>
          <w:numId w:val="1"/>
        </w:numPr>
      </w:pPr>
      <w:r w:rsidRPr="00D861D9">
        <w:t>To publicly report in the downloadable database utilization data for individual EPs.</w:t>
      </w:r>
    </w:p>
    <w:p w14:paraId="16EB6031" w14:textId="4815557F" w:rsidR="00F011A7" w:rsidRPr="00D861D9" w:rsidRDefault="00F011A7" w:rsidP="00F011A7">
      <w:r w:rsidRPr="00D861D9">
        <w:t>CMS is not finalizing the proposal to include a visual indicator on profile pages for group practices and individual EPs who receive an upward adjustment for the Value Modifier.</w:t>
      </w:r>
    </w:p>
    <w:p w14:paraId="0254B9D5" w14:textId="77777777" w:rsidR="00F011A7" w:rsidRPr="00D861D9" w:rsidRDefault="00F011A7" w:rsidP="00F011A7">
      <w:pPr>
        <w:rPr>
          <w:b/>
          <w:bCs/>
          <w:u w:val="single"/>
        </w:rPr>
      </w:pPr>
    </w:p>
    <w:p w14:paraId="5DDD2D19" w14:textId="77777777" w:rsidR="00F011A7" w:rsidRPr="00D861D9" w:rsidRDefault="00F011A7" w:rsidP="00F011A7">
      <w:r w:rsidRPr="00D861D9">
        <w:rPr>
          <w:bCs/>
          <w:u w:val="single"/>
        </w:rPr>
        <w:t>The Medicare EHR Incentive Program</w:t>
      </w:r>
    </w:p>
    <w:p w14:paraId="0917EF14" w14:textId="77777777" w:rsidR="00F011A7" w:rsidRPr="00D861D9" w:rsidRDefault="00F011A7" w:rsidP="00F011A7">
      <w:r w:rsidRPr="00D861D9">
        <w:t>CMS is revising the definition of certified EHR technology in accordance with criterion finalized by the Office of the National Coordinator for Health Information Technology and CMS’ form and manner requirements for electronic submission of CQMs.</w:t>
      </w:r>
    </w:p>
    <w:p w14:paraId="5ED5E73B" w14:textId="77777777" w:rsidR="00F011A7" w:rsidRPr="00D861D9" w:rsidRDefault="00F011A7" w:rsidP="00F011A7">
      <w:pPr>
        <w:rPr>
          <w:b/>
          <w:bCs/>
          <w:u w:val="single"/>
        </w:rPr>
      </w:pPr>
    </w:p>
    <w:p w14:paraId="763B8151" w14:textId="77777777" w:rsidR="00F011A7" w:rsidRPr="00D861D9" w:rsidRDefault="00F011A7" w:rsidP="00F011A7">
      <w:r w:rsidRPr="00D861D9">
        <w:rPr>
          <w:bCs/>
          <w:u w:val="single"/>
        </w:rPr>
        <w:t>Physician Value-Based Payment Modifier</w:t>
      </w:r>
    </w:p>
    <w:p w14:paraId="06D9AC39" w14:textId="42662D12" w:rsidR="00F011A7" w:rsidRPr="00D861D9" w:rsidRDefault="00F011A7" w:rsidP="00F011A7">
      <w:r w:rsidRPr="00D861D9">
        <w:t>The Value Modifier i</w:t>
      </w:r>
      <w:r w:rsidR="00251C18" w:rsidRPr="00D861D9">
        <w:t>s set to expire at the end of</w:t>
      </w:r>
      <w:r w:rsidRPr="00D861D9">
        <w:t xml:space="preserve"> 2018, as a new comprehensive program, required by MAC</w:t>
      </w:r>
      <w:r w:rsidR="00251C18" w:rsidRPr="00D861D9">
        <w:t>RA, called the MIPS begins in</w:t>
      </w:r>
      <w:r w:rsidRPr="00D861D9">
        <w:t xml:space="preserve"> 2019. The final policies established in this rule are intended to help provide a smooth transition from the Value Modifier to MIPS. This year, CMS is finalizing the following key provisions:</w:t>
      </w:r>
    </w:p>
    <w:p w14:paraId="67B0B7EF" w14:textId="602A0C5F" w:rsidR="00F011A7" w:rsidRPr="00D861D9" w:rsidRDefault="00F011A7" w:rsidP="00F011A7">
      <w:pPr>
        <w:numPr>
          <w:ilvl w:val="0"/>
          <w:numId w:val="8"/>
        </w:numPr>
      </w:pPr>
      <w:r w:rsidRPr="00D861D9">
        <w:t>To apply the Va</w:t>
      </w:r>
      <w:r w:rsidR="00463108" w:rsidRPr="00D861D9">
        <w:t>lue Modifier to nonphysician eligible professionals</w:t>
      </w:r>
      <w:r w:rsidRPr="00D861D9">
        <w:t xml:space="preserve"> who are Physician Assistants (PAs), Nurse Practitioners (NPs), Clinical Nurse Specialists (CNSs), and Certified Registered Nurse Anesthetists (CRNAs) (</w:t>
      </w:r>
      <w:r w:rsidR="00463108" w:rsidRPr="00D861D9">
        <w:t>and not to other nonphysician eligible professional</w:t>
      </w:r>
      <w:r w:rsidRPr="00D861D9">
        <w:t xml:space="preserve"> types) in groups and to PAs, NPs, CNSs, and CRNAs who a</w:t>
      </w:r>
      <w:r w:rsidR="00251C18" w:rsidRPr="00D861D9">
        <w:t>re solo practitioners, in the</w:t>
      </w:r>
      <w:r w:rsidRPr="00D861D9">
        <w:t xml:space="preserve"> 2018 payment adjustment period;</w:t>
      </w:r>
    </w:p>
    <w:p w14:paraId="018D32A1" w14:textId="78CCDB99" w:rsidR="00F011A7" w:rsidRPr="00D861D9" w:rsidRDefault="00F011A7" w:rsidP="00F011A7">
      <w:pPr>
        <w:numPr>
          <w:ilvl w:val="0"/>
          <w:numId w:val="8"/>
        </w:numPr>
      </w:pPr>
      <w:r w:rsidRPr="00D861D9">
        <w:t>To apply the quality-tiering methodology to all groups and solo practitioners that meet the criteria to avoid the downward adjustment under the PQRS. Groups and solo practitioners would be subject to upward, neutral, or downward adjustments derived under the quality-tiering methodology, with the exception that PAs, NPs, CNSs, and CRNAs in group</w:t>
      </w:r>
      <w:r w:rsidR="00463108" w:rsidRPr="00D861D9">
        <w:t xml:space="preserve">s consisting of nonphysician eligible professionals and PAs, NPs, CNSs, and CRNAs </w:t>
      </w:r>
      <w:r w:rsidRPr="00D861D9">
        <w:t>who are solo practitioners will be held harmless from downward adjustments under the q</w:t>
      </w:r>
      <w:r w:rsidR="00251C18" w:rsidRPr="00D861D9">
        <w:t>uality-tiering methodology in</w:t>
      </w:r>
      <w:r w:rsidRPr="00D861D9">
        <w:t xml:space="preserve"> 2018;</w:t>
      </w:r>
    </w:p>
    <w:p w14:paraId="20DC060F" w14:textId="460CF24A" w:rsidR="00F011A7" w:rsidRPr="00D861D9" w:rsidRDefault="00F011A7" w:rsidP="00F011A7">
      <w:pPr>
        <w:numPr>
          <w:ilvl w:val="0"/>
          <w:numId w:val="8"/>
        </w:numPr>
      </w:pPr>
      <w:r w:rsidRPr="00D861D9">
        <w:t>To continue to set the maximum upward adjustment under the quality-tiering methodolog</w:t>
      </w:r>
      <w:r w:rsidR="00251C18" w:rsidRPr="00D861D9">
        <w:t>y for the</w:t>
      </w:r>
      <w:r w:rsidRPr="00D861D9">
        <w:t xml:space="preserve"> 2018 Value Modifier at: +4.0 times an adjustment factor (to be determined after the conclusion of the performance period), for groups of physicians with ten o</w:t>
      </w:r>
      <w:r w:rsidR="00463108" w:rsidRPr="00D861D9">
        <w:t>r more eligible professionals</w:t>
      </w:r>
      <w:r w:rsidRPr="00D861D9">
        <w:t>; +2.0 times an adjustment factor, for groups of physici</w:t>
      </w:r>
      <w:r w:rsidR="00463108" w:rsidRPr="00D861D9">
        <w:t>ans with between two to nine eligible professionals</w:t>
      </w:r>
      <w:r w:rsidRPr="00D861D9">
        <w:t xml:space="preserve"> and physician solo practitioners; and +2.0 times an adjustment factor for groups </w:t>
      </w:r>
      <w:r w:rsidR="00463108" w:rsidRPr="00D861D9">
        <w:t>that consist of nonphysician eligible professionals</w:t>
      </w:r>
      <w:r w:rsidRPr="00D861D9">
        <w:t xml:space="preserve"> and solo practitioners who are PAs, NPs, CNSs, and CRNAs; and</w:t>
      </w:r>
    </w:p>
    <w:p w14:paraId="33E13070" w14:textId="1CE461AB" w:rsidR="00F011A7" w:rsidRPr="00D861D9" w:rsidRDefault="00F011A7" w:rsidP="00F011A7">
      <w:pPr>
        <w:numPr>
          <w:ilvl w:val="0"/>
          <w:numId w:val="8"/>
        </w:numPr>
      </w:pPr>
      <w:r w:rsidRPr="00D861D9">
        <w:t>To set the amount</w:t>
      </w:r>
      <w:r w:rsidR="00251C18" w:rsidRPr="00D861D9">
        <w:t xml:space="preserve"> of payment at risk under the</w:t>
      </w:r>
      <w:r w:rsidRPr="00D861D9">
        <w:t xml:space="preserve"> 2018 Value Modifier to -4.0 percent for groups of</w:t>
      </w:r>
      <w:r w:rsidR="00463108" w:rsidRPr="00D861D9">
        <w:t xml:space="preserve"> physicians with ten or more eligible professionals</w:t>
      </w:r>
      <w:r w:rsidRPr="00D861D9">
        <w:t>, -2.0 percent for groups of physici</w:t>
      </w:r>
      <w:r w:rsidR="00463108" w:rsidRPr="00D861D9">
        <w:t>ans with between two to nine eligible professionals</w:t>
      </w:r>
      <w:r w:rsidRPr="00D861D9">
        <w:t xml:space="preserve"> and physician solo practitioners, and -2.0 percent for groups </w:t>
      </w:r>
      <w:r w:rsidR="00463108" w:rsidRPr="00D861D9">
        <w:t>that consist of nonphysician eligible professionals</w:t>
      </w:r>
      <w:r w:rsidRPr="00D861D9">
        <w:t xml:space="preserve"> and solo practitioners who are PAs, NPs, CNSs, and CRNAs.</w:t>
      </w:r>
    </w:p>
    <w:p w14:paraId="610C0680" w14:textId="521B5195" w:rsidR="00F011A7" w:rsidRPr="00D861D9" w:rsidRDefault="00F011A7" w:rsidP="00F011A7">
      <w:pPr>
        <w:numPr>
          <w:ilvl w:val="0"/>
          <w:numId w:val="8"/>
        </w:numPr>
      </w:pPr>
      <w:r w:rsidRPr="00D861D9">
        <w:t>To waive application of the Value Modifier for groups and solo practitioners, as identified by their Taxpayer Identification Number (TIN), i</w:t>
      </w:r>
      <w:r w:rsidR="00463108" w:rsidRPr="00D861D9">
        <w:t>f at least one eligible professional</w:t>
      </w:r>
      <w:r w:rsidRPr="00D861D9">
        <w:t xml:space="preserve"> who billed for PFS items and services under the TIN during the applicable performance period for the Value Modifier participated in the Pioneer ACO Model, Comprehensive Primary Care Initiative (CPCI), or other similar Innovation Center model (such as Comprehensive ESRD Care Initiative, Oncology Care Model (OCM), and the Next Generation ACO Model) during the performan</w:t>
      </w:r>
      <w:r w:rsidR="00251C18" w:rsidRPr="00D861D9">
        <w:t>ce period, beginning with the</w:t>
      </w:r>
      <w:r w:rsidRPr="00D861D9">
        <w:t xml:space="preserve"> 2017 payment adjustment period;</w:t>
      </w:r>
    </w:p>
    <w:p w14:paraId="25623B79" w14:textId="7E2D1FFF" w:rsidR="00F011A7" w:rsidRPr="00D861D9" w:rsidRDefault="00251C18" w:rsidP="00F011A7">
      <w:pPr>
        <w:numPr>
          <w:ilvl w:val="0"/>
          <w:numId w:val="8"/>
        </w:numPr>
      </w:pPr>
      <w:r w:rsidRPr="00D861D9">
        <w:t>To use</w:t>
      </w:r>
      <w:r w:rsidR="00F011A7" w:rsidRPr="00D861D9">
        <w:t xml:space="preserve"> 2016 as t</w:t>
      </w:r>
      <w:r w:rsidRPr="00D861D9">
        <w:t>he performance period for the</w:t>
      </w:r>
      <w:r w:rsidR="00F011A7" w:rsidRPr="00D861D9">
        <w:t xml:space="preserve"> 2018 Value Modif</w:t>
      </w:r>
      <w:r w:rsidRPr="00D861D9">
        <w:t>ier and continue to apply the</w:t>
      </w:r>
      <w:r w:rsidR="00F011A7" w:rsidRPr="00D861D9">
        <w:t xml:space="preserve"> 2018 Value Modifier based on participation in the PQRS by groups and solo practitioners;</w:t>
      </w:r>
    </w:p>
    <w:p w14:paraId="44906062" w14:textId="78B5853B" w:rsidR="00F011A7" w:rsidRPr="00D861D9" w:rsidRDefault="00251C18" w:rsidP="00F011A7">
      <w:pPr>
        <w:numPr>
          <w:ilvl w:val="0"/>
          <w:numId w:val="8"/>
        </w:numPr>
      </w:pPr>
      <w:r w:rsidRPr="00D861D9">
        <w:t>Beginning with the</w:t>
      </w:r>
      <w:r w:rsidR="00F011A7" w:rsidRPr="00D861D9">
        <w:t xml:space="preserve"> 2017 payment adjustment period, </w:t>
      </w:r>
      <w:r w:rsidR="00463108" w:rsidRPr="00D861D9">
        <w:t>CMS is</w:t>
      </w:r>
      <w:r w:rsidR="00F011A7" w:rsidRPr="00D861D9">
        <w:t xml:space="preserve"> increasing the minimum episode size for the Medicare Spending per Beneficiary measure to be included in the Value Modifier to 125 episodes for all groups and solo practitioners.  Also, beginning with the 2017 payment adjustment period, for solo practitioners </w:t>
      </w:r>
      <w:r w:rsidR="00463108" w:rsidRPr="00D861D9">
        <w:t>and groups with two to nine eligible professionals,</w:t>
      </w:r>
      <w:r w:rsidR="00F011A7" w:rsidRPr="00D861D9">
        <w:t xml:space="preserve"> </w:t>
      </w:r>
      <w:r w:rsidR="00463108" w:rsidRPr="00D861D9">
        <w:t>CMS is</w:t>
      </w:r>
      <w:r w:rsidR="00F011A7" w:rsidRPr="00D861D9">
        <w:t xml:space="preserve"> finalizing that the All-Cause Hospital Readmissions measure will not be used in the quality composite calcu</w:t>
      </w:r>
      <w:r w:rsidR="00D861D9" w:rsidRPr="00D861D9">
        <w:t>lation for the Value Modifier;</w:t>
      </w:r>
    </w:p>
    <w:p w14:paraId="474DD25D" w14:textId="2FCC42AE" w:rsidR="00F13151" w:rsidRPr="00D861D9" w:rsidRDefault="00F011A7" w:rsidP="00463108">
      <w:pPr>
        <w:pStyle w:val="ListParagraph"/>
        <w:numPr>
          <w:ilvl w:val="0"/>
          <w:numId w:val="8"/>
        </w:numPr>
      </w:pPr>
      <w:r w:rsidRPr="00D861D9">
        <w:t>To not apply the automatic downward adjustment applicable to TINs that do not meet the criteria to avoid the downward adjustment under PQRS, when PQRS determines on informal review that at l</w:t>
      </w:r>
      <w:r w:rsidR="00D861D9" w:rsidRPr="00D861D9">
        <w:t>east 50%</w:t>
      </w:r>
      <w:r w:rsidR="00463108" w:rsidRPr="00D861D9">
        <w:t xml:space="preserve"> of the TIN’s </w:t>
      </w:r>
      <w:r w:rsidR="00D861D9" w:rsidRPr="00D861D9">
        <w:t>eligible</w:t>
      </w:r>
      <w:r w:rsidR="00463108" w:rsidRPr="00D861D9">
        <w:t xml:space="preserve"> professionals</w:t>
      </w:r>
      <w:r w:rsidRPr="00D861D9">
        <w:t xml:space="preserve"> meet the criteria to avoid the downward PQRS p</w:t>
      </w:r>
      <w:r w:rsidR="00463108" w:rsidRPr="00D861D9">
        <w:t xml:space="preserve">ayment adjustment.  Also, CMS </w:t>
      </w:r>
      <w:r w:rsidRPr="00D861D9">
        <w:t>note</w:t>
      </w:r>
      <w:r w:rsidR="00463108" w:rsidRPr="00D861D9">
        <w:t>s</w:t>
      </w:r>
      <w:r w:rsidRPr="00D861D9">
        <w:t xml:space="preserve"> that if the group was initially determined to have not met the criteria to avoid the PQRS downward payment adjustments and consequently was initially subject to the automatic downward adjustment under the Value Modifier, then </w:t>
      </w:r>
      <w:r w:rsidR="00463108" w:rsidRPr="00D861D9">
        <w:t>CMS does</w:t>
      </w:r>
      <w:r w:rsidRPr="00D861D9">
        <w:t xml:space="preserve"> not expect to have data for calculating their quality composite, in which case they would be classified as “average quality.”</w:t>
      </w:r>
    </w:p>
    <w:p w14:paraId="30C0AE7C" w14:textId="77777777" w:rsidR="00D861D9" w:rsidRPr="00D861D9" w:rsidRDefault="00D861D9" w:rsidP="00D861D9"/>
    <w:p w14:paraId="47CD68AA" w14:textId="77777777" w:rsidR="00D861D9" w:rsidRPr="00D861D9" w:rsidRDefault="00D861D9" w:rsidP="00D861D9">
      <w:pPr>
        <w:rPr>
          <w:b/>
          <w:bCs/>
          <w:u w:val="single"/>
        </w:rPr>
      </w:pPr>
    </w:p>
    <w:p w14:paraId="038869E1" w14:textId="77777777" w:rsidR="00D861D9" w:rsidRPr="00D861D9" w:rsidRDefault="00D861D9" w:rsidP="00D861D9">
      <w:r w:rsidRPr="00D861D9">
        <w:rPr>
          <w:b/>
          <w:bCs/>
          <w:u w:val="single"/>
        </w:rPr>
        <w:t>Physician Self-Referral Updates</w:t>
      </w:r>
    </w:p>
    <w:p w14:paraId="340B61C7" w14:textId="0BF38EBC" w:rsidR="00D861D9" w:rsidRPr="00D861D9" w:rsidRDefault="00D861D9" w:rsidP="00D861D9">
      <w:r w:rsidRPr="00D861D9">
        <w:t>The 2016 final PFS rule establishes two new exceptions to physician self-referral regulations and clarifies certain regulatory terminology and requirements.</w:t>
      </w:r>
    </w:p>
    <w:p w14:paraId="19B788F5" w14:textId="77777777" w:rsidR="00D861D9" w:rsidRPr="00D861D9" w:rsidRDefault="00D861D9" w:rsidP="00D861D9">
      <w:pPr>
        <w:rPr>
          <w:i/>
          <w:iCs/>
        </w:rPr>
      </w:pPr>
    </w:p>
    <w:p w14:paraId="33B2EFCD" w14:textId="1F884D5C" w:rsidR="00D861D9" w:rsidRPr="00D861D9" w:rsidRDefault="00D861D9" w:rsidP="00D861D9">
      <w:r w:rsidRPr="00D861D9">
        <w:rPr>
          <w:iCs/>
          <w:u w:val="single"/>
        </w:rPr>
        <w:t>New Exceptions:</w:t>
      </w:r>
    </w:p>
    <w:p w14:paraId="72A66383" w14:textId="006EE011" w:rsidR="00D861D9" w:rsidRPr="00D861D9" w:rsidRDefault="00D861D9" w:rsidP="00D861D9">
      <w:r w:rsidRPr="00D861D9">
        <w:t>The rule establishes a new exception to permit payment by hospitals, Federally Qualified Health Centers, and Rural Health Clinics to physicians for the purpose of compensating nonphysician practitioners under certain conditions. It also establishes a new exception to permit timeshare arrangements for the use of office space, equipment, personnel, items, supplies, and other services. CMS believes these new exceptions will enhance access to care across all areas and will be particularly helpful in rural and underserved areas.</w:t>
      </w:r>
    </w:p>
    <w:p w14:paraId="310DDD7F" w14:textId="77777777" w:rsidR="00D861D9" w:rsidRPr="00D861D9" w:rsidRDefault="00D861D9" w:rsidP="00D861D9">
      <w:pPr>
        <w:rPr>
          <w:i/>
          <w:iCs/>
        </w:rPr>
      </w:pPr>
    </w:p>
    <w:p w14:paraId="744482D6" w14:textId="77777777" w:rsidR="00D861D9" w:rsidRPr="00D861D9" w:rsidRDefault="00D861D9" w:rsidP="00D861D9">
      <w:pPr>
        <w:rPr>
          <w:u w:val="single"/>
        </w:rPr>
      </w:pPr>
      <w:r w:rsidRPr="00D861D9">
        <w:rPr>
          <w:iCs/>
          <w:u w:val="single"/>
        </w:rPr>
        <w:t>Updating Physician-Owned Hospital Requirements:</w:t>
      </w:r>
    </w:p>
    <w:p w14:paraId="035C3B77" w14:textId="32688797" w:rsidR="00D861D9" w:rsidRPr="00D861D9" w:rsidRDefault="00D861D9" w:rsidP="00D861D9">
      <w:r w:rsidRPr="00D861D9">
        <w:t>The Affordable Care Act established restrictions on physician-owned hospitals, including setting a baseline physician ownership percentage that they cannot exceed and requiring them to state on their websites and in their advertising that they are owned by physicians.</w:t>
      </w:r>
    </w:p>
    <w:p w14:paraId="0461F11E" w14:textId="77777777" w:rsidR="00D861D9" w:rsidRPr="00D861D9" w:rsidRDefault="00D861D9" w:rsidP="00D861D9">
      <w:r w:rsidRPr="00D861D9">
        <w:t>CMS updated the regulations to clarify that a broad range of actions comply with the website and advertising requirements. CMS also finalized conforming changes that better align the regulations to the statute so that the baseline and future calculations of a hospital’s physician ownership percentage includes all physicians rather than only those physicians who refer to the hospital. The physician ownership calculation change takes effect on January 1, 2017.</w:t>
      </w:r>
    </w:p>
    <w:p w14:paraId="7BF71757" w14:textId="77777777" w:rsidR="00D861D9" w:rsidRPr="00D861D9" w:rsidRDefault="00D861D9" w:rsidP="00D861D9">
      <w:pPr>
        <w:rPr>
          <w:i/>
          <w:iCs/>
        </w:rPr>
      </w:pPr>
    </w:p>
    <w:p w14:paraId="3C6BB7CF" w14:textId="6F266BB1" w:rsidR="00D861D9" w:rsidRPr="00D861D9" w:rsidRDefault="00D861D9" w:rsidP="00D861D9">
      <w:pPr>
        <w:rPr>
          <w:u w:val="single"/>
        </w:rPr>
      </w:pPr>
      <w:r w:rsidRPr="00D861D9">
        <w:rPr>
          <w:iCs/>
          <w:u w:val="single"/>
        </w:rPr>
        <w:t>Clarifying Terminology and Providing Policy Guidance:</w:t>
      </w:r>
    </w:p>
    <w:p w14:paraId="0B77449D" w14:textId="535488FC" w:rsidR="00D861D9" w:rsidRPr="00D861D9" w:rsidRDefault="00D861D9" w:rsidP="00D861D9">
      <w:r w:rsidRPr="00D861D9">
        <w:t>The Self-Referral Disclosure Protocol allows CMS to settle overpayments resulting from physician self-referral law violations. Review of self-disclosures indicates that clarifying terminology and providing policy guidance could reduce perceived or actual noncompliance without risk of abuse. CMS is making the following updates:  </w:t>
      </w:r>
    </w:p>
    <w:p w14:paraId="798FE84A" w14:textId="77777777" w:rsidR="00D861D9" w:rsidRPr="00D861D9" w:rsidRDefault="00D861D9" w:rsidP="00D861D9">
      <w:pPr>
        <w:numPr>
          <w:ilvl w:val="0"/>
          <w:numId w:val="1"/>
        </w:numPr>
      </w:pPr>
      <w:r w:rsidRPr="00D861D9">
        <w:t>Clarifying that compensation paid to a physician organization cannot take into account the referrals of any physician in the physician organization, not just a physician who stands in the shoes of the physician organization, and that employees and independent contractors need not sign arrangements between the physician organization and a DHS entity;</w:t>
      </w:r>
    </w:p>
    <w:p w14:paraId="20CF53FF" w14:textId="77777777" w:rsidR="00D861D9" w:rsidRPr="00D861D9" w:rsidRDefault="00D861D9" w:rsidP="00D861D9">
      <w:pPr>
        <w:numPr>
          <w:ilvl w:val="0"/>
          <w:numId w:val="1"/>
        </w:numPr>
      </w:pPr>
      <w:r w:rsidRPr="00D861D9">
        <w:t>Clarifying that the writing required in many of the exceptions to the physician self-referral law’s referral and billing prohibitions can be a collection of documents (as opposed to a single formal contract) and making the terminology that describes types of arrangements consistent throughout the regulations;</w:t>
      </w:r>
    </w:p>
    <w:p w14:paraId="4CD633E1" w14:textId="77777777" w:rsidR="00D861D9" w:rsidRPr="00D861D9" w:rsidRDefault="00D861D9" w:rsidP="00D861D9">
      <w:pPr>
        <w:numPr>
          <w:ilvl w:val="0"/>
          <w:numId w:val="1"/>
        </w:numPr>
      </w:pPr>
      <w:r w:rsidRPr="00D861D9">
        <w:t>Clarifying that the term of a lease or personal service arrangement need not be in writing if the arrangement lasts at least 1 year and is otherwise compliant;</w:t>
      </w:r>
    </w:p>
    <w:p w14:paraId="50911B33" w14:textId="77777777" w:rsidR="00D861D9" w:rsidRPr="00D861D9" w:rsidRDefault="00D861D9" w:rsidP="00D861D9">
      <w:pPr>
        <w:numPr>
          <w:ilvl w:val="0"/>
          <w:numId w:val="1"/>
        </w:numPr>
      </w:pPr>
      <w:r w:rsidRPr="00D861D9">
        <w:t>Allowing expired leasing and personal services arrangements to continue indefinitely on the same terms if otherwise compliant;</w:t>
      </w:r>
    </w:p>
    <w:p w14:paraId="69CD52E9" w14:textId="77777777" w:rsidR="00D861D9" w:rsidRPr="00D861D9" w:rsidRDefault="00D861D9" w:rsidP="00D861D9">
      <w:pPr>
        <w:numPr>
          <w:ilvl w:val="0"/>
          <w:numId w:val="1"/>
        </w:numPr>
      </w:pPr>
      <w:r w:rsidRPr="00D861D9">
        <w:t>Allowing a 90-day grace period to obtain missing signatures without regard to whether the failure to obtain the signature was inadvertent;</w:t>
      </w:r>
    </w:p>
    <w:p w14:paraId="04F29741" w14:textId="77777777" w:rsidR="00D861D9" w:rsidRPr="00D861D9" w:rsidRDefault="00D861D9" w:rsidP="00D861D9">
      <w:pPr>
        <w:numPr>
          <w:ilvl w:val="0"/>
          <w:numId w:val="1"/>
        </w:numPr>
      </w:pPr>
      <w:r w:rsidRPr="00D861D9">
        <w:t>Clarifying that DHS entities can give to physicians items used solely for one or more of the purposes identified in the statute;</w:t>
      </w:r>
    </w:p>
    <w:p w14:paraId="69A14D96" w14:textId="77777777" w:rsidR="00D861D9" w:rsidRPr="00D861D9" w:rsidRDefault="00D861D9" w:rsidP="00D861D9">
      <w:pPr>
        <w:numPr>
          <w:ilvl w:val="0"/>
          <w:numId w:val="1"/>
        </w:numPr>
      </w:pPr>
      <w:r w:rsidRPr="00D861D9">
        <w:t>Clarifying that a financial relationship does not exist when a physician provides services to hospital patients in the hospital if both the hospital and the physician bill independently for their services;</w:t>
      </w:r>
    </w:p>
    <w:p w14:paraId="6C2A5D70" w14:textId="77777777" w:rsidR="00D861D9" w:rsidRPr="00D861D9" w:rsidRDefault="00D861D9" w:rsidP="00D861D9">
      <w:pPr>
        <w:numPr>
          <w:ilvl w:val="0"/>
          <w:numId w:val="1"/>
        </w:numPr>
      </w:pPr>
      <w:r w:rsidRPr="00D861D9">
        <w:t>Updating obsolete language in the exception for ownership in publicly traded entities to allow over-the-counter transactions and removing unnecessary language from the definition of a locum tenens physician;</w:t>
      </w:r>
    </w:p>
    <w:p w14:paraId="077E5168" w14:textId="77777777" w:rsidR="00D861D9" w:rsidRPr="00D861D9" w:rsidRDefault="00D861D9" w:rsidP="00D861D9">
      <w:pPr>
        <w:numPr>
          <w:ilvl w:val="0"/>
          <w:numId w:val="1"/>
        </w:numPr>
      </w:pPr>
      <w:r w:rsidRPr="00D861D9">
        <w:t>Clarifying the geographic service area for the Federally Qualified Health Centers and Rural Health Clinics using the physician recruitment exception; and</w:t>
      </w:r>
    </w:p>
    <w:p w14:paraId="120D127F" w14:textId="73CE3B7F" w:rsidR="00D861D9" w:rsidRPr="00D861D9" w:rsidRDefault="00D861D9" w:rsidP="00D861D9">
      <w:pPr>
        <w:numPr>
          <w:ilvl w:val="0"/>
          <w:numId w:val="1"/>
        </w:numPr>
      </w:pPr>
      <w:r w:rsidRPr="00D861D9">
        <w:t>Correcting a drafting error so that the retention exception indicates that retention payments based on physician certification may be no more than 25% of the physician’s current annual salary averaged over 24 months (as opposed to no more than 24 months).</w:t>
      </w:r>
    </w:p>
    <w:p w14:paraId="49CD7803" w14:textId="77777777" w:rsidR="00D861D9" w:rsidRPr="00D861D9" w:rsidRDefault="00D861D9" w:rsidP="00A04B44">
      <w:pPr>
        <w:widowControl w:val="0"/>
        <w:autoSpaceDE w:val="0"/>
        <w:autoSpaceDN w:val="0"/>
        <w:adjustRightInd w:val="0"/>
        <w:rPr>
          <w:b/>
          <w:bCs/>
          <w:u w:val="single"/>
          <w:lang w:eastAsia="ja-JP"/>
        </w:rPr>
      </w:pPr>
    </w:p>
    <w:p w14:paraId="6A81F51C" w14:textId="77777777" w:rsidR="00D861D9" w:rsidRPr="00D861D9" w:rsidRDefault="00D861D9" w:rsidP="00A04B44">
      <w:pPr>
        <w:widowControl w:val="0"/>
        <w:autoSpaceDE w:val="0"/>
        <w:autoSpaceDN w:val="0"/>
        <w:adjustRightInd w:val="0"/>
        <w:rPr>
          <w:b/>
          <w:bCs/>
          <w:u w:val="single"/>
          <w:lang w:eastAsia="ja-JP"/>
        </w:rPr>
      </w:pPr>
    </w:p>
    <w:p w14:paraId="49722F18" w14:textId="77777777" w:rsidR="00A04B44" w:rsidRPr="00D861D9" w:rsidRDefault="00A04B44" w:rsidP="00A04B44">
      <w:pPr>
        <w:widowControl w:val="0"/>
        <w:autoSpaceDE w:val="0"/>
        <w:autoSpaceDN w:val="0"/>
        <w:adjustRightInd w:val="0"/>
        <w:rPr>
          <w:lang w:eastAsia="ja-JP"/>
        </w:rPr>
      </w:pPr>
      <w:r w:rsidRPr="00D861D9">
        <w:rPr>
          <w:b/>
          <w:bCs/>
          <w:u w:val="single"/>
          <w:lang w:eastAsia="ja-JP"/>
        </w:rPr>
        <w:t>Next Steps</w:t>
      </w:r>
    </w:p>
    <w:p w14:paraId="3C857825" w14:textId="312E6476" w:rsidR="00A04B44" w:rsidRPr="00D861D9" w:rsidRDefault="00A04B44" w:rsidP="00A04B44">
      <w:pPr>
        <w:widowControl w:val="0"/>
        <w:autoSpaceDE w:val="0"/>
        <w:autoSpaceDN w:val="0"/>
        <w:adjustRightInd w:val="0"/>
        <w:rPr>
          <w:lang w:eastAsia="ja-JP"/>
        </w:rPr>
      </w:pPr>
      <w:r w:rsidRPr="00D861D9">
        <w:rPr>
          <w:color w:val="1F1F1F"/>
          <w:lang w:eastAsia="ja-JP"/>
        </w:rPr>
        <w:t>CMS is accepting comments on the proposed rule until 5 p.m. EST on December 29, 2015. The final rule goes into effect on January 1, 2016.</w:t>
      </w:r>
    </w:p>
    <w:p w14:paraId="675F07C5" w14:textId="77777777" w:rsidR="00A04B44" w:rsidRPr="00D861D9" w:rsidRDefault="00A04B44" w:rsidP="00A04B44">
      <w:pPr>
        <w:widowControl w:val="0"/>
        <w:autoSpaceDE w:val="0"/>
        <w:autoSpaceDN w:val="0"/>
        <w:adjustRightInd w:val="0"/>
        <w:rPr>
          <w:lang w:eastAsia="ja-JP"/>
        </w:rPr>
      </w:pPr>
      <w:r w:rsidRPr="00D861D9">
        <w:rPr>
          <w:color w:val="1F1F1F"/>
          <w:lang w:eastAsia="ja-JP"/>
        </w:rPr>
        <w:t> </w:t>
      </w:r>
    </w:p>
    <w:p w14:paraId="43B9F2B9" w14:textId="77777777" w:rsidR="00A04B44" w:rsidRPr="00D861D9" w:rsidRDefault="00A04B44" w:rsidP="00A04B44">
      <w:pPr>
        <w:widowControl w:val="0"/>
        <w:autoSpaceDE w:val="0"/>
        <w:autoSpaceDN w:val="0"/>
        <w:adjustRightInd w:val="0"/>
        <w:rPr>
          <w:u w:color="1F1F1F"/>
          <w:lang w:eastAsia="ja-JP"/>
        </w:rPr>
      </w:pPr>
      <w:r w:rsidRPr="00D861D9">
        <w:rPr>
          <w:b/>
          <w:bCs/>
          <w:color w:val="1F1F1F"/>
          <w:u w:val="single" w:color="1F1F1F"/>
          <w:lang w:eastAsia="ja-JP"/>
        </w:rPr>
        <w:t>Important Links</w:t>
      </w:r>
    </w:p>
    <w:p w14:paraId="4FA17B19" w14:textId="20FE75F3" w:rsidR="00A04B44" w:rsidRDefault="00A04B44" w:rsidP="00A04B44">
      <w:pPr>
        <w:widowControl w:val="0"/>
        <w:autoSpaceDE w:val="0"/>
        <w:autoSpaceDN w:val="0"/>
        <w:adjustRightInd w:val="0"/>
      </w:pPr>
      <w:r w:rsidRPr="00D861D9">
        <w:rPr>
          <w:color w:val="1F1F1F"/>
          <w:u w:val="single" w:color="1F1F1F"/>
          <w:lang w:eastAsia="ja-JP"/>
        </w:rPr>
        <w:t>Final Rule:</w:t>
      </w:r>
      <w:r w:rsidRPr="00D861D9">
        <w:rPr>
          <w:color w:val="1F1F1F"/>
          <w:u w:color="1F1F1F"/>
          <w:lang w:eastAsia="ja-JP"/>
        </w:rPr>
        <w:t xml:space="preserve"> </w:t>
      </w:r>
      <w:hyperlink r:id="rId10" w:history="1">
        <w:r w:rsidR="00E5510C" w:rsidRPr="00AE45F6">
          <w:rPr>
            <w:rStyle w:val="Hyperlink"/>
          </w:rPr>
          <w:t>https://www.federalregister.gov/articles/2015/11/16/2015-28005/medicare-program-revisions-to-payment-policies-under-the-physician-fee-schedule-and-other-revisions</w:t>
        </w:r>
      </w:hyperlink>
    </w:p>
    <w:p w14:paraId="254C517C" w14:textId="77777777" w:rsidR="00E5510C" w:rsidRPr="00D861D9" w:rsidRDefault="00E5510C" w:rsidP="00A04B44">
      <w:pPr>
        <w:widowControl w:val="0"/>
        <w:autoSpaceDE w:val="0"/>
        <w:autoSpaceDN w:val="0"/>
        <w:adjustRightInd w:val="0"/>
        <w:rPr>
          <w:color w:val="1F1F1F"/>
          <w:u w:color="1F1F1F"/>
          <w:lang w:eastAsia="ja-JP"/>
        </w:rPr>
      </w:pPr>
    </w:p>
    <w:p w14:paraId="363B857F" w14:textId="6195DA7D" w:rsidR="00A04B44" w:rsidRPr="00D861D9" w:rsidRDefault="00A04B44" w:rsidP="00A04B44">
      <w:pPr>
        <w:widowControl w:val="0"/>
        <w:autoSpaceDE w:val="0"/>
        <w:autoSpaceDN w:val="0"/>
        <w:adjustRightInd w:val="0"/>
        <w:rPr>
          <w:color w:val="1F1F1F"/>
          <w:u w:color="1F1F1F"/>
          <w:lang w:eastAsia="ja-JP"/>
        </w:rPr>
      </w:pPr>
      <w:r w:rsidRPr="00D861D9">
        <w:rPr>
          <w:color w:val="1F1F1F"/>
          <w:u w:val="single"/>
          <w:lang w:eastAsia="ja-JP"/>
        </w:rPr>
        <w:t>PFS Addenda and Other Attachments:</w:t>
      </w:r>
      <w:r w:rsidRPr="00D861D9">
        <w:rPr>
          <w:color w:val="1F1F1F"/>
          <w:u w:color="1F1F1F"/>
          <w:lang w:eastAsia="ja-JP"/>
        </w:rPr>
        <w:t xml:space="preserve"> </w:t>
      </w:r>
      <w:hyperlink r:id="rId11" w:history="1">
        <w:r w:rsidRPr="00D861D9">
          <w:rPr>
            <w:rStyle w:val="Hyperlink"/>
            <w:u w:color="1F1F1F"/>
            <w:lang w:eastAsia="ja-JP"/>
          </w:rPr>
          <w:t>https://www.cms.gov/Medicare/Medicare-Fee-for-Service-Payment/PhysicianFeeSched/PFS-Federal-Regulation-Notices-Items/CMS-1631-FC.html</w:t>
        </w:r>
      </w:hyperlink>
    </w:p>
    <w:p w14:paraId="11BF8F4B" w14:textId="77777777" w:rsidR="00A04B44" w:rsidRPr="00D861D9" w:rsidRDefault="00A04B44" w:rsidP="00A04B44">
      <w:pPr>
        <w:widowControl w:val="0"/>
        <w:autoSpaceDE w:val="0"/>
        <w:autoSpaceDN w:val="0"/>
        <w:adjustRightInd w:val="0"/>
        <w:rPr>
          <w:u w:color="1F1F1F"/>
          <w:lang w:eastAsia="ja-JP"/>
        </w:rPr>
      </w:pPr>
    </w:p>
    <w:p w14:paraId="69BED623" w14:textId="3383B081" w:rsidR="00A04B44" w:rsidRPr="00D861D9" w:rsidRDefault="00A04B44" w:rsidP="00A04B44">
      <w:pPr>
        <w:widowControl w:val="0"/>
        <w:autoSpaceDE w:val="0"/>
        <w:autoSpaceDN w:val="0"/>
        <w:adjustRightInd w:val="0"/>
        <w:rPr>
          <w:color w:val="1F1F1F"/>
          <w:u w:color="1F1F1F"/>
          <w:lang w:eastAsia="ja-JP"/>
        </w:rPr>
      </w:pPr>
      <w:r w:rsidRPr="00D861D9">
        <w:rPr>
          <w:color w:val="1F1F1F"/>
          <w:u w:val="single" w:color="1F1F1F"/>
          <w:lang w:eastAsia="ja-JP"/>
        </w:rPr>
        <w:t>Fact Sheet:</w:t>
      </w:r>
      <w:r w:rsidRPr="00D861D9">
        <w:rPr>
          <w:color w:val="1F1F1F"/>
          <w:u w:color="1F1F1F"/>
          <w:lang w:eastAsia="ja-JP"/>
        </w:rPr>
        <w:t xml:space="preserve"> </w:t>
      </w:r>
      <w:hyperlink r:id="rId12" w:history="1">
        <w:r w:rsidRPr="00D861D9">
          <w:rPr>
            <w:rStyle w:val="Hyperlink"/>
            <w:u w:color="1F1F1F"/>
            <w:lang w:eastAsia="ja-JP"/>
          </w:rPr>
          <w:t>https://www.cms.gov/Newsroom/MediaReleaseDatabase/Fact-sheets/2015-Fact-sheets-items/2015-10-30-2.html</w:t>
        </w:r>
      </w:hyperlink>
    </w:p>
    <w:p w14:paraId="5929E790" w14:textId="77777777" w:rsidR="00A04B44" w:rsidRPr="00D861D9" w:rsidRDefault="00A04B44" w:rsidP="00A04B44">
      <w:pPr>
        <w:widowControl w:val="0"/>
        <w:autoSpaceDE w:val="0"/>
        <w:autoSpaceDN w:val="0"/>
        <w:adjustRightInd w:val="0"/>
        <w:rPr>
          <w:u w:color="1F1F1F"/>
          <w:lang w:eastAsia="ja-JP"/>
        </w:rPr>
      </w:pPr>
      <w:r w:rsidRPr="00D861D9">
        <w:rPr>
          <w:color w:val="1F1F1F"/>
          <w:u w:color="1F1F1F"/>
          <w:lang w:eastAsia="ja-JP"/>
        </w:rPr>
        <w:t> </w:t>
      </w:r>
    </w:p>
    <w:p w14:paraId="1767C3AD" w14:textId="45D7469D" w:rsidR="00A04B44" w:rsidRDefault="00A04B44" w:rsidP="00A04B44">
      <w:pPr>
        <w:widowControl w:val="0"/>
        <w:autoSpaceDE w:val="0"/>
        <w:autoSpaceDN w:val="0"/>
        <w:adjustRightInd w:val="0"/>
      </w:pPr>
      <w:r w:rsidRPr="00D861D9">
        <w:rPr>
          <w:color w:val="1F1F1F"/>
          <w:u w:val="single"/>
          <w:lang w:eastAsia="ja-JP"/>
        </w:rPr>
        <w:t xml:space="preserve">Submit Individual Comments to the Final Rule at: </w:t>
      </w:r>
      <w:hyperlink r:id="rId13" w:history="1">
        <w:r w:rsidR="00E5510C" w:rsidRPr="00AE45F6">
          <w:rPr>
            <w:rStyle w:val="Hyperlink"/>
          </w:rPr>
          <w:t>http://www.regulations.gov/#!documentDetail;D=CMS-2015-0081-2290</w:t>
        </w:r>
      </w:hyperlink>
    </w:p>
    <w:p w14:paraId="02CA826B" w14:textId="77777777" w:rsidR="00A04B44" w:rsidRPr="00D861D9" w:rsidRDefault="00A04B44" w:rsidP="00A04B44">
      <w:pPr>
        <w:widowControl w:val="0"/>
        <w:autoSpaceDE w:val="0"/>
        <w:autoSpaceDN w:val="0"/>
        <w:adjustRightInd w:val="0"/>
        <w:rPr>
          <w:lang w:eastAsia="ja-JP"/>
        </w:rPr>
      </w:pPr>
      <w:r w:rsidRPr="00D861D9">
        <w:rPr>
          <w:color w:val="1F1F1F"/>
          <w:lang w:eastAsia="ja-JP"/>
        </w:rPr>
        <w:t>Note: Click on the blue “Comment Now!” button in the upper right hand corner.</w:t>
      </w:r>
    </w:p>
    <w:p w14:paraId="2DF9E9AF" w14:textId="77777777" w:rsidR="00A04B44" w:rsidRPr="00D861D9" w:rsidRDefault="00A04B44" w:rsidP="00A04B44">
      <w:r w:rsidRPr="00D861D9">
        <w:rPr>
          <w:u w:color="1F1F1F"/>
          <w:lang w:eastAsia="ja-JP"/>
        </w:rPr>
        <w:t> </w:t>
      </w:r>
    </w:p>
    <w:p w14:paraId="453CD2DD" w14:textId="77777777" w:rsidR="00A04B44" w:rsidRPr="00D861D9" w:rsidRDefault="00A04B44"/>
    <w:sectPr w:rsidR="00A04B44" w:rsidRPr="00D861D9" w:rsidSect="00EC39A6">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B9A7F" w14:textId="77777777" w:rsidR="00345675" w:rsidRDefault="00345675" w:rsidP="001E1931">
      <w:r>
        <w:separator/>
      </w:r>
    </w:p>
  </w:endnote>
  <w:endnote w:type="continuationSeparator" w:id="0">
    <w:p w14:paraId="441D753C" w14:textId="77777777" w:rsidR="00345675" w:rsidRDefault="00345675" w:rsidP="001E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C7C4" w14:textId="77777777" w:rsidR="00345675" w:rsidRPr="0014259D" w:rsidRDefault="00345675" w:rsidP="001E1931">
    <w:pPr>
      <w:rPr>
        <w:bCs/>
        <w:iCs/>
        <w:color w:val="000000"/>
        <w:sz w:val="18"/>
        <w:szCs w:val="18"/>
      </w:rPr>
    </w:pPr>
    <w:r w:rsidRPr="0014259D">
      <w:rPr>
        <w:bCs/>
        <w:iCs/>
        <w:color w:val="000000"/>
        <w:sz w:val="18"/>
        <w:szCs w:val="18"/>
      </w:rPr>
      <w:t xml:space="preserve">CPT codes and descriptions only are copyright 2015 American Medical Association. All Rights Reserved. Applicable </w:t>
    </w:r>
  </w:p>
  <w:p w14:paraId="333EE942" w14:textId="15A6A204" w:rsidR="00345675" w:rsidRDefault="00345675" w:rsidP="001E1931">
    <w:pPr>
      <w:pStyle w:val="Footer"/>
    </w:pPr>
    <w:r w:rsidRPr="0014259D">
      <w:rPr>
        <w:bCs/>
        <w:iCs/>
        <w:color w:val="000000"/>
        <w:sz w:val="18"/>
        <w:szCs w:val="18"/>
      </w:rPr>
      <w:t>FARS/DFARS Apply. Dental codes (D codes) are copyright 2015 American Dental Association.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F780" w14:textId="77777777" w:rsidR="00345675" w:rsidRDefault="00345675" w:rsidP="001E1931">
      <w:r>
        <w:separator/>
      </w:r>
    </w:p>
  </w:footnote>
  <w:footnote w:type="continuationSeparator" w:id="0">
    <w:p w14:paraId="4550EF53" w14:textId="77777777" w:rsidR="00345675" w:rsidRDefault="00345675" w:rsidP="001E19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6ED9AE"/>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EE04B41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0404F"/>
    <w:multiLevelType w:val="hybridMultilevel"/>
    <w:tmpl w:val="B3DA3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122FF6"/>
    <w:multiLevelType w:val="hybridMultilevel"/>
    <w:tmpl w:val="5ABC5814"/>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535D8"/>
    <w:multiLevelType w:val="hybridMultilevel"/>
    <w:tmpl w:val="72A0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62B4F"/>
    <w:multiLevelType w:val="hybridMultilevel"/>
    <w:tmpl w:val="6B18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F1074"/>
    <w:multiLevelType w:val="hybridMultilevel"/>
    <w:tmpl w:val="A482A3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26134D"/>
    <w:multiLevelType w:val="hybridMultilevel"/>
    <w:tmpl w:val="3962D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1C6EAE"/>
    <w:multiLevelType w:val="hybridMultilevel"/>
    <w:tmpl w:val="3712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750193"/>
    <w:multiLevelType w:val="hybridMultilevel"/>
    <w:tmpl w:val="197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1193F"/>
    <w:multiLevelType w:val="hybridMultilevel"/>
    <w:tmpl w:val="7B32A69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5"/>
  </w:num>
  <w:num w:numId="6">
    <w:abstractNumId w:val="8"/>
  </w:num>
  <w:num w:numId="7">
    <w:abstractNumId w:val="4"/>
  </w:num>
  <w:num w:numId="8">
    <w:abstractNumId w:val="1"/>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6"/>
    <w:rsid w:val="000274C2"/>
    <w:rsid w:val="000430E0"/>
    <w:rsid w:val="001676A5"/>
    <w:rsid w:val="001A7C28"/>
    <w:rsid w:val="001E1931"/>
    <w:rsid w:val="00251C18"/>
    <w:rsid w:val="00345675"/>
    <w:rsid w:val="00434C86"/>
    <w:rsid w:val="00463108"/>
    <w:rsid w:val="0049628A"/>
    <w:rsid w:val="00542266"/>
    <w:rsid w:val="00570865"/>
    <w:rsid w:val="005A3640"/>
    <w:rsid w:val="005B2FBE"/>
    <w:rsid w:val="0061795D"/>
    <w:rsid w:val="006A4562"/>
    <w:rsid w:val="00712718"/>
    <w:rsid w:val="007E61D1"/>
    <w:rsid w:val="008A6360"/>
    <w:rsid w:val="008D3CC5"/>
    <w:rsid w:val="00985054"/>
    <w:rsid w:val="00A04B44"/>
    <w:rsid w:val="00AB6BE9"/>
    <w:rsid w:val="00BE1072"/>
    <w:rsid w:val="00C07013"/>
    <w:rsid w:val="00C25344"/>
    <w:rsid w:val="00CE5692"/>
    <w:rsid w:val="00D37818"/>
    <w:rsid w:val="00D8143B"/>
    <w:rsid w:val="00D861D9"/>
    <w:rsid w:val="00D86EE1"/>
    <w:rsid w:val="00E5510C"/>
    <w:rsid w:val="00EA710C"/>
    <w:rsid w:val="00EC39A6"/>
    <w:rsid w:val="00F011A7"/>
    <w:rsid w:val="00F13151"/>
    <w:rsid w:val="00F4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3717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C8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274C2"/>
    <w:pPr>
      <w:ind w:left="720"/>
      <w:contextualSpacing/>
    </w:pPr>
  </w:style>
  <w:style w:type="table" w:styleId="TableGrid">
    <w:name w:val="Table Grid"/>
    <w:basedOn w:val="TableNormal"/>
    <w:uiPriority w:val="59"/>
    <w:rsid w:val="00CE5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4B44"/>
    <w:rPr>
      <w:color w:val="0000FF" w:themeColor="hyperlink"/>
      <w:u w:val="single"/>
    </w:rPr>
  </w:style>
  <w:style w:type="paragraph" w:styleId="Header">
    <w:name w:val="header"/>
    <w:basedOn w:val="Normal"/>
    <w:link w:val="HeaderChar"/>
    <w:uiPriority w:val="99"/>
    <w:unhideWhenUsed/>
    <w:rsid w:val="001E1931"/>
    <w:pPr>
      <w:tabs>
        <w:tab w:val="center" w:pos="4320"/>
        <w:tab w:val="right" w:pos="8640"/>
      </w:tabs>
    </w:pPr>
  </w:style>
  <w:style w:type="character" w:customStyle="1" w:styleId="HeaderChar">
    <w:name w:val="Header Char"/>
    <w:basedOn w:val="DefaultParagraphFont"/>
    <w:link w:val="Header"/>
    <w:uiPriority w:val="99"/>
    <w:rsid w:val="001E1931"/>
    <w:rPr>
      <w:sz w:val="24"/>
      <w:szCs w:val="24"/>
      <w:lang w:eastAsia="en-US"/>
    </w:rPr>
  </w:style>
  <w:style w:type="paragraph" w:styleId="Footer">
    <w:name w:val="footer"/>
    <w:basedOn w:val="Normal"/>
    <w:link w:val="FooterChar"/>
    <w:uiPriority w:val="99"/>
    <w:unhideWhenUsed/>
    <w:rsid w:val="001E1931"/>
    <w:pPr>
      <w:tabs>
        <w:tab w:val="center" w:pos="4320"/>
        <w:tab w:val="right" w:pos="8640"/>
      </w:tabs>
    </w:pPr>
  </w:style>
  <w:style w:type="character" w:customStyle="1" w:styleId="FooterChar">
    <w:name w:val="Footer Char"/>
    <w:basedOn w:val="DefaultParagraphFont"/>
    <w:link w:val="Footer"/>
    <w:uiPriority w:val="99"/>
    <w:rsid w:val="001E1931"/>
    <w:rPr>
      <w:sz w:val="24"/>
      <w:szCs w:val="24"/>
      <w:lang w:eastAsia="en-US"/>
    </w:rPr>
  </w:style>
  <w:style w:type="character" w:styleId="FollowedHyperlink">
    <w:name w:val="FollowedHyperlink"/>
    <w:basedOn w:val="DefaultParagraphFont"/>
    <w:uiPriority w:val="99"/>
    <w:semiHidden/>
    <w:unhideWhenUsed/>
    <w:rsid w:val="0034567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C8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274C2"/>
    <w:pPr>
      <w:ind w:left="720"/>
      <w:contextualSpacing/>
    </w:pPr>
  </w:style>
  <w:style w:type="table" w:styleId="TableGrid">
    <w:name w:val="Table Grid"/>
    <w:basedOn w:val="TableNormal"/>
    <w:uiPriority w:val="59"/>
    <w:rsid w:val="00CE5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4B44"/>
    <w:rPr>
      <w:color w:val="0000FF" w:themeColor="hyperlink"/>
      <w:u w:val="single"/>
    </w:rPr>
  </w:style>
  <w:style w:type="paragraph" w:styleId="Header">
    <w:name w:val="header"/>
    <w:basedOn w:val="Normal"/>
    <w:link w:val="HeaderChar"/>
    <w:uiPriority w:val="99"/>
    <w:unhideWhenUsed/>
    <w:rsid w:val="001E1931"/>
    <w:pPr>
      <w:tabs>
        <w:tab w:val="center" w:pos="4320"/>
        <w:tab w:val="right" w:pos="8640"/>
      </w:tabs>
    </w:pPr>
  </w:style>
  <w:style w:type="character" w:customStyle="1" w:styleId="HeaderChar">
    <w:name w:val="Header Char"/>
    <w:basedOn w:val="DefaultParagraphFont"/>
    <w:link w:val="Header"/>
    <w:uiPriority w:val="99"/>
    <w:rsid w:val="001E1931"/>
    <w:rPr>
      <w:sz w:val="24"/>
      <w:szCs w:val="24"/>
      <w:lang w:eastAsia="en-US"/>
    </w:rPr>
  </w:style>
  <w:style w:type="paragraph" w:styleId="Footer">
    <w:name w:val="footer"/>
    <w:basedOn w:val="Normal"/>
    <w:link w:val="FooterChar"/>
    <w:uiPriority w:val="99"/>
    <w:unhideWhenUsed/>
    <w:rsid w:val="001E1931"/>
    <w:pPr>
      <w:tabs>
        <w:tab w:val="center" w:pos="4320"/>
        <w:tab w:val="right" w:pos="8640"/>
      </w:tabs>
    </w:pPr>
  </w:style>
  <w:style w:type="character" w:customStyle="1" w:styleId="FooterChar">
    <w:name w:val="Footer Char"/>
    <w:basedOn w:val="DefaultParagraphFont"/>
    <w:link w:val="Footer"/>
    <w:uiPriority w:val="99"/>
    <w:rsid w:val="001E1931"/>
    <w:rPr>
      <w:sz w:val="24"/>
      <w:szCs w:val="24"/>
      <w:lang w:eastAsia="en-US"/>
    </w:rPr>
  </w:style>
  <w:style w:type="character" w:styleId="FollowedHyperlink">
    <w:name w:val="FollowedHyperlink"/>
    <w:basedOn w:val="DefaultParagraphFont"/>
    <w:uiPriority w:val="99"/>
    <w:semiHidden/>
    <w:unhideWhenUsed/>
    <w:rsid w:val="00345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1556">
      <w:bodyDiv w:val="1"/>
      <w:marLeft w:val="0"/>
      <w:marRight w:val="0"/>
      <w:marTop w:val="0"/>
      <w:marBottom w:val="0"/>
      <w:divBdr>
        <w:top w:val="none" w:sz="0" w:space="0" w:color="auto"/>
        <w:left w:val="none" w:sz="0" w:space="0" w:color="auto"/>
        <w:bottom w:val="none" w:sz="0" w:space="0" w:color="auto"/>
        <w:right w:val="none" w:sz="0" w:space="0" w:color="auto"/>
      </w:divBdr>
    </w:div>
    <w:div w:id="251091056">
      <w:bodyDiv w:val="1"/>
      <w:marLeft w:val="0"/>
      <w:marRight w:val="0"/>
      <w:marTop w:val="0"/>
      <w:marBottom w:val="0"/>
      <w:divBdr>
        <w:top w:val="none" w:sz="0" w:space="0" w:color="auto"/>
        <w:left w:val="none" w:sz="0" w:space="0" w:color="auto"/>
        <w:bottom w:val="none" w:sz="0" w:space="0" w:color="auto"/>
        <w:right w:val="none" w:sz="0" w:space="0" w:color="auto"/>
      </w:divBdr>
    </w:div>
    <w:div w:id="278339365">
      <w:bodyDiv w:val="1"/>
      <w:marLeft w:val="0"/>
      <w:marRight w:val="0"/>
      <w:marTop w:val="0"/>
      <w:marBottom w:val="0"/>
      <w:divBdr>
        <w:top w:val="none" w:sz="0" w:space="0" w:color="auto"/>
        <w:left w:val="none" w:sz="0" w:space="0" w:color="auto"/>
        <w:bottom w:val="none" w:sz="0" w:space="0" w:color="auto"/>
        <w:right w:val="none" w:sz="0" w:space="0" w:color="auto"/>
      </w:divBdr>
    </w:div>
    <w:div w:id="305359863">
      <w:bodyDiv w:val="1"/>
      <w:marLeft w:val="0"/>
      <w:marRight w:val="0"/>
      <w:marTop w:val="0"/>
      <w:marBottom w:val="0"/>
      <w:divBdr>
        <w:top w:val="none" w:sz="0" w:space="0" w:color="auto"/>
        <w:left w:val="none" w:sz="0" w:space="0" w:color="auto"/>
        <w:bottom w:val="none" w:sz="0" w:space="0" w:color="auto"/>
        <w:right w:val="none" w:sz="0" w:space="0" w:color="auto"/>
      </w:divBdr>
    </w:div>
    <w:div w:id="331841391">
      <w:bodyDiv w:val="1"/>
      <w:marLeft w:val="0"/>
      <w:marRight w:val="0"/>
      <w:marTop w:val="0"/>
      <w:marBottom w:val="0"/>
      <w:divBdr>
        <w:top w:val="none" w:sz="0" w:space="0" w:color="auto"/>
        <w:left w:val="none" w:sz="0" w:space="0" w:color="auto"/>
        <w:bottom w:val="none" w:sz="0" w:space="0" w:color="auto"/>
        <w:right w:val="none" w:sz="0" w:space="0" w:color="auto"/>
      </w:divBdr>
    </w:div>
    <w:div w:id="476841675">
      <w:bodyDiv w:val="1"/>
      <w:marLeft w:val="0"/>
      <w:marRight w:val="0"/>
      <w:marTop w:val="0"/>
      <w:marBottom w:val="0"/>
      <w:divBdr>
        <w:top w:val="none" w:sz="0" w:space="0" w:color="auto"/>
        <w:left w:val="none" w:sz="0" w:space="0" w:color="auto"/>
        <w:bottom w:val="none" w:sz="0" w:space="0" w:color="auto"/>
        <w:right w:val="none" w:sz="0" w:space="0" w:color="auto"/>
      </w:divBdr>
    </w:div>
    <w:div w:id="525605578">
      <w:bodyDiv w:val="1"/>
      <w:marLeft w:val="0"/>
      <w:marRight w:val="0"/>
      <w:marTop w:val="0"/>
      <w:marBottom w:val="0"/>
      <w:divBdr>
        <w:top w:val="none" w:sz="0" w:space="0" w:color="auto"/>
        <w:left w:val="none" w:sz="0" w:space="0" w:color="auto"/>
        <w:bottom w:val="none" w:sz="0" w:space="0" w:color="auto"/>
        <w:right w:val="none" w:sz="0" w:space="0" w:color="auto"/>
      </w:divBdr>
    </w:div>
    <w:div w:id="618223316">
      <w:bodyDiv w:val="1"/>
      <w:marLeft w:val="0"/>
      <w:marRight w:val="0"/>
      <w:marTop w:val="0"/>
      <w:marBottom w:val="0"/>
      <w:divBdr>
        <w:top w:val="none" w:sz="0" w:space="0" w:color="auto"/>
        <w:left w:val="none" w:sz="0" w:space="0" w:color="auto"/>
        <w:bottom w:val="none" w:sz="0" w:space="0" w:color="auto"/>
        <w:right w:val="none" w:sz="0" w:space="0" w:color="auto"/>
      </w:divBdr>
    </w:div>
    <w:div w:id="644746303">
      <w:bodyDiv w:val="1"/>
      <w:marLeft w:val="0"/>
      <w:marRight w:val="0"/>
      <w:marTop w:val="0"/>
      <w:marBottom w:val="0"/>
      <w:divBdr>
        <w:top w:val="none" w:sz="0" w:space="0" w:color="auto"/>
        <w:left w:val="none" w:sz="0" w:space="0" w:color="auto"/>
        <w:bottom w:val="none" w:sz="0" w:space="0" w:color="auto"/>
        <w:right w:val="none" w:sz="0" w:space="0" w:color="auto"/>
      </w:divBdr>
    </w:div>
    <w:div w:id="649555453">
      <w:bodyDiv w:val="1"/>
      <w:marLeft w:val="0"/>
      <w:marRight w:val="0"/>
      <w:marTop w:val="0"/>
      <w:marBottom w:val="0"/>
      <w:divBdr>
        <w:top w:val="none" w:sz="0" w:space="0" w:color="auto"/>
        <w:left w:val="none" w:sz="0" w:space="0" w:color="auto"/>
        <w:bottom w:val="none" w:sz="0" w:space="0" w:color="auto"/>
        <w:right w:val="none" w:sz="0" w:space="0" w:color="auto"/>
      </w:divBdr>
      <w:divsChild>
        <w:div w:id="371540958">
          <w:marLeft w:val="0"/>
          <w:marRight w:val="0"/>
          <w:marTop w:val="0"/>
          <w:marBottom w:val="0"/>
          <w:divBdr>
            <w:top w:val="none" w:sz="0" w:space="0" w:color="auto"/>
            <w:left w:val="none" w:sz="0" w:space="0" w:color="auto"/>
            <w:bottom w:val="none" w:sz="0" w:space="0" w:color="auto"/>
            <w:right w:val="none" w:sz="0" w:space="0" w:color="auto"/>
          </w:divBdr>
          <w:divsChild>
            <w:div w:id="1759205239">
              <w:marLeft w:val="0"/>
              <w:marRight w:val="0"/>
              <w:marTop w:val="0"/>
              <w:marBottom w:val="0"/>
              <w:divBdr>
                <w:top w:val="none" w:sz="0" w:space="0" w:color="auto"/>
                <w:left w:val="none" w:sz="0" w:space="0" w:color="auto"/>
                <w:bottom w:val="none" w:sz="0" w:space="0" w:color="auto"/>
                <w:right w:val="none" w:sz="0" w:space="0" w:color="auto"/>
              </w:divBdr>
              <w:divsChild>
                <w:div w:id="11311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3646">
      <w:bodyDiv w:val="1"/>
      <w:marLeft w:val="0"/>
      <w:marRight w:val="0"/>
      <w:marTop w:val="0"/>
      <w:marBottom w:val="0"/>
      <w:divBdr>
        <w:top w:val="none" w:sz="0" w:space="0" w:color="auto"/>
        <w:left w:val="none" w:sz="0" w:space="0" w:color="auto"/>
        <w:bottom w:val="none" w:sz="0" w:space="0" w:color="auto"/>
        <w:right w:val="none" w:sz="0" w:space="0" w:color="auto"/>
      </w:divBdr>
      <w:divsChild>
        <w:div w:id="612902348">
          <w:marLeft w:val="0"/>
          <w:marRight w:val="0"/>
          <w:marTop w:val="0"/>
          <w:marBottom w:val="0"/>
          <w:divBdr>
            <w:top w:val="none" w:sz="0" w:space="0" w:color="auto"/>
            <w:left w:val="none" w:sz="0" w:space="0" w:color="auto"/>
            <w:bottom w:val="none" w:sz="0" w:space="0" w:color="auto"/>
            <w:right w:val="none" w:sz="0" w:space="0" w:color="auto"/>
          </w:divBdr>
          <w:divsChild>
            <w:div w:id="302203806">
              <w:marLeft w:val="0"/>
              <w:marRight w:val="0"/>
              <w:marTop w:val="0"/>
              <w:marBottom w:val="0"/>
              <w:divBdr>
                <w:top w:val="none" w:sz="0" w:space="0" w:color="auto"/>
                <w:left w:val="none" w:sz="0" w:space="0" w:color="auto"/>
                <w:bottom w:val="none" w:sz="0" w:space="0" w:color="auto"/>
                <w:right w:val="none" w:sz="0" w:space="0" w:color="auto"/>
              </w:divBdr>
              <w:divsChild>
                <w:div w:id="1337732977">
                  <w:marLeft w:val="0"/>
                  <w:marRight w:val="0"/>
                  <w:marTop w:val="0"/>
                  <w:marBottom w:val="0"/>
                  <w:divBdr>
                    <w:top w:val="none" w:sz="0" w:space="0" w:color="auto"/>
                    <w:left w:val="none" w:sz="0" w:space="0" w:color="auto"/>
                    <w:bottom w:val="none" w:sz="0" w:space="0" w:color="auto"/>
                    <w:right w:val="none" w:sz="0" w:space="0" w:color="auto"/>
                  </w:divBdr>
                  <w:divsChild>
                    <w:div w:id="7315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2370">
      <w:bodyDiv w:val="1"/>
      <w:marLeft w:val="0"/>
      <w:marRight w:val="0"/>
      <w:marTop w:val="0"/>
      <w:marBottom w:val="0"/>
      <w:divBdr>
        <w:top w:val="none" w:sz="0" w:space="0" w:color="auto"/>
        <w:left w:val="none" w:sz="0" w:space="0" w:color="auto"/>
        <w:bottom w:val="none" w:sz="0" w:space="0" w:color="auto"/>
        <w:right w:val="none" w:sz="0" w:space="0" w:color="auto"/>
      </w:divBdr>
    </w:div>
    <w:div w:id="914516015">
      <w:bodyDiv w:val="1"/>
      <w:marLeft w:val="0"/>
      <w:marRight w:val="0"/>
      <w:marTop w:val="0"/>
      <w:marBottom w:val="0"/>
      <w:divBdr>
        <w:top w:val="none" w:sz="0" w:space="0" w:color="auto"/>
        <w:left w:val="none" w:sz="0" w:space="0" w:color="auto"/>
        <w:bottom w:val="none" w:sz="0" w:space="0" w:color="auto"/>
        <w:right w:val="none" w:sz="0" w:space="0" w:color="auto"/>
      </w:divBdr>
      <w:divsChild>
        <w:div w:id="2035383763">
          <w:marLeft w:val="0"/>
          <w:marRight w:val="0"/>
          <w:marTop w:val="0"/>
          <w:marBottom w:val="0"/>
          <w:divBdr>
            <w:top w:val="none" w:sz="0" w:space="0" w:color="auto"/>
            <w:left w:val="none" w:sz="0" w:space="0" w:color="auto"/>
            <w:bottom w:val="none" w:sz="0" w:space="0" w:color="auto"/>
            <w:right w:val="none" w:sz="0" w:space="0" w:color="auto"/>
          </w:divBdr>
          <w:divsChild>
            <w:div w:id="232736356">
              <w:marLeft w:val="0"/>
              <w:marRight w:val="0"/>
              <w:marTop w:val="0"/>
              <w:marBottom w:val="0"/>
              <w:divBdr>
                <w:top w:val="none" w:sz="0" w:space="0" w:color="auto"/>
                <w:left w:val="none" w:sz="0" w:space="0" w:color="auto"/>
                <w:bottom w:val="none" w:sz="0" w:space="0" w:color="auto"/>
                <w:right w:val="none" w:sz="0" w:space="0" w:color="auto"/>
              </w:divBdr>
              <w:divsChild>
                <w:div w:id="20638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8765">
      <w:bodyDiv w:val="1"/>
      <w:marLeft w:val="0"/>
      <w:marRight w:val="0"/>
      <w:marTop w:val="0"/>
      <w:marBottom w:val="0"/>
      <w:divBdr>
        <w:top w:val="none" w:sz="0" w:space="0" w:color="auto"/>
        <w:left w:val="none" w:sz="0" w:space="0" w:color="auto"/>
        <w:bottom w:val="none" w:sz="0" w:space="0" w:color="auto"/>
        <w:right w:val="none" w:sz="0" w:space="0" w:color="auto"/>
      </w:divBdr>
      <w:divsChild>
        <w:div w:id="97605069">
          <w:marLeft w:val="0"/>
          <w:marRight w:val="0"/>
          <w:marTop w:val="0"/>
          <w:marBottom w:val="0"/>
          <w:divBdr>
            <w:top w:val="none" w:sz="0" w:space="0" w:color="auto"/>
            <w:left w:val="none" w:sz="0" w:space="0" w:color="auto"/>
            <w:bottom w:val="none" w:sz="0" w:space="0" w:color="auto"/>
            <w:right w:val="none" w:sz="0" w:space="0" w:color="auto"/>
          </w:divBdr>
          <w:divsChild>
            <w:div w:id="1147361737">
              <w:marLeft w:val="0"/>
              <w:marRight w:val="0"/>
              <w:marTop w:val="0"/>
              <w:marBottom w:val="0"/>
              <w:divBdr>
                <w:top w:val="none" w:sz="0" w:space="0" w:color="auto"/>
                <w:left w:val="none" w:sz="0" w:space="0" w:color="auto"/>
                <w:bottom w:val="none" w:sz="0" w:space="0" w:color="auto"/>
                <w:right w:val="none" w:sz="0" w:space="0" w:color="auto"/>
              </w:divBdr>
              <w:divsChild>
                <w:div w:id="2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8508">
      <w:bodyDiv w:val="1"/>
      <w:marLeft w:val="0"/>
      <w:marRight w:val="0"/>
      <w:marTop w:val="0"/>
      <w:marBottom w:val="0"/>
      <w:divBdr>
        <w:top w:val="none" w:sz="0" w:space="0" w:color="auto"/>
        <w:left w:val="none" w:sz="0" w:space="0" w:color="auto"/>
        <w:bottom w:val="none" w:sz="0" w:space="0" w:color="auto"/>
        <w:right w:val="none" w:sz="0" w:space="0" w:color="auto"/>
      </w:divBdr>
    </w:div>
    <w:div w:id="1257254386">
      <w:bodyDiv w:val="1"/>
      <w:marLeft w:val="0"/>
      <w:marRight w:val="0"/>
      <w:marTop w:val="0"/>
      <w:marBottom w:val="0"/>
      <w:divBdr>
        <w:top w:val="none" w:sz="0" w:space="0" w:color="auto"/>
        <w:left w:val="none" w:sz="0" w:space="0" w:color="auto"/>
        <w:bottom w:val="none" w:sz="0" w:space="0" w:color="auto"/>
        <w:right w:val="none" w:sz="0" w:space="0" w:color="auto"/>
      </w:divBdr>
      <w:divsChild>
        <w:div w:id="1274629602">
          <w:marLeft w:val="0"/>
          <w:marRight w:val="0"/>
          <w:marTop w:val="0"/>
          <w:marBottom w:val="0"/>
          <w:divBdr>
            <w:top w:val="none" w:sz="0" w:space="0" w:color="auto"/>
            <w:left w:val="none" w:sz="0" w:space="0" w:color="auto"/>
            <w:bottom w:val="none" w:sz="0" w:space="0" w:color="auto"/>
            <w:right w:val="none" w:sz="0" w:space="0" w:color="auto"/>
          </w:divBdr>
          <w:divsChild>
            <w:div w:id="965505241">
              <w:marLeft w:val="0"/>
              <w:marRight w:val="0"/>
              <w:marTop w:val="0"/>
              <w:marBottom w:val="0"/>
              <w:divBdr>
                <w:top w:val="none" w:sz="0" w:space="0" w:color="auto"/>
                <w:left w:val="none" w:sz="0" w:space="0" w:color="auto"/>
                <w:bottom w:val="none" w:sz="0" w:space="0" w:color="auto"/>
                <w:right w:val="none" w:sz="0" w:space="0" w:color="auto"/>
              </w:divBdr>
              <w:divsChild>
                <w:div w:id="84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496">
          <w:marLeft w:val="0"/>
          <w:marRight w:val="0"/>
          <w:marTop w:val="0"/>
          <w:marBottom w:val="0"/>
          <w:divBdr>
            <w:top w:val="none" w:sz="0" w:space="0" w:color="auto"/>
            <w:left w:val="none" w:sz="0" w:space="0" w:color="auto"/>
            <w:bottom w:val="none" w:sz="0" w:space="0" w:color="auto"/>
            <w:right w:val="none" w:sz="0" w:space="0" w:color="auto"/>
          </w:divBdr>
          <w:divsChild>
            <w:div w:id="455222598">
              <w:marLeft w:val="0"/>
              <w:marRight w:val="0"/>
              <w:marTop w:val="0"/>
              <w:marBottom w:val="0"/>
              <w:divBdr>
                <w:top w:val="none" w:sz="0" w:space="0" w:color="auto"/>
                <w:left w:val="none" w:sz="0" w:space="0" w:color="auto"/>
                <w:bottom w:val="none" w:sz="0" w:space="0" w:color="auto"/>
                <w:right w:val="none" w:sz="0" w:space="0" w:color="auto"/>
              </w:divBdr>
              <w:divsChild>
                <w:div w:id="4602271">
                  <w:marLeft w:val="0"/>
                  <w:marRight w:val="0"/>
                  <w:marTop w:val="0"/>
                  <w:marBottom w:val="0"/>
                  <w:divBdr>
                    <w:top w:val="none" w:sz="0" w:space="0" w:color="auto"/>
                    <w:left w:val="none" w:sz="0" w:space="0" w:color="auto"/>
                    <w:bottom w:val="none" w:sz="0" w:space="0" w:color="auto"/>
                    <w:right w:val="none" w:sz="0" w:space="0" w:color="auto"/>
                  </w:divBdr>
                </w:div>
              </w:divsChild>
            </w:div>
            <w:div w:id="1651638717">
              <w:marLeft w:val="0"/>
              <w:marRight w:val="0"/>
              <w:marTop w:val="0"/>
              <w:marBottom w:val="0"/>
              <w:divBdr>
                <w:top w:val="none" w:sz="0" w:space="0" w:color="auto"/>
                <w:left w:val="none" w:sz="0" w:space="0" w:color="auto"/>
                <w:bottom w:val="none" w:sz="0" w:space="0" w:color="auto"/>
                <w:right w:val="none" w:sz="0" w:space="0" w:color="auto"/>
              </w:divBdr>
              <w:divsChild>
                <w:div w:id="247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1241">
          <w:marLeft w:val="0"/>
          <w:marRight w:val="0"/>
          <w:marTop w:val="0"/>
          <w:marBottom w:val="0"/>
          <w:divBdr>
            <w:top w:val="none" w:sz="0" w:space="0" w:color="auto"/>
            <w:left w:val="none" w:sz="0" w:space="0" w:color="auto"/>
            <w:bottom w:val="none" w:sz="0" w:space="0" w:color="auto"/>
            <w:right w:val="none" w:sz="0" w:space="0" w:color="auto"/>
          </w:divBdr>
          <w:divsChild>
            <w:div w:id="202136044">
              <w:marLeft w:val="0"/>
              <w:marRight w:val="0"/>
              <w:marTop w:val="0"/>
              <w:marBottom w:val="0"/>
              <w:divBdr>
                <w:top w:val="none" w:sz="0" w:space="0" w:color="auto"/>
                <w:left w:val="none" w:sz="0" w:space="0" w:color="auto"/>
                <w:bottom w:val="none" w:sz="0" w:space="0" w:color="auto"/>
                <w:right w:val="none" w:sz="0" w:space="0" w:color="auto"/>
              </w:divBdr>
              <w:divsChild>
                <w:div w:id="435489743">
                  <w:marLeft w:val="0"/>
                  <w:marRight w:val="0"/>
                  <w:marTop w:val="0"/>
                  <w:marBottom w:val="0"/>
                  <w:divBdr>
                    <w:top w:val="none" w:sz="0" w:space="0" w:color="auto"/>
                    <w:left w:val="none" w:sz="0" w:space="0" w:color="auto"/>
                    <w:bottom w:val="none" w:sz="0" w:space="0" w:color="auto"/>
                    <w:right w:val="none" w:sz="0" w:space="0" w:color="auto"/>
                  </w:divBdr>
                </w:div>
              </w:divsChild>
            </w:div>
            <w:div w:id="1399136396">
              <w:marLeft w:val="0"/>
              <w:marRight w:val="0"/>
              <w:marTop w:val="0"/>
              <w:marBottom w:val="0"/>
              <w:divBdr>
                <w:top w:val="none" w:sz="0" w:space="0" w:color="auto"/>
                <w:left w:val="none" w:sz="0" w:space="0" w:color="auto"/>
                <w:bottom w:val="none" w:sz="0" w:space="0" w:color="auto"/>
                <w:right w:val="none" w:sz="0" w:space="0" w:color="auto"/>
              </w:divBdr>
              <w:divsChild>
                <w:div w:id="14452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083">
          <w:marLeft w:val="0"/>
          <w:marRight w:val="0"/>
          <w:marTop w:val="0"/>
          <w:marBottom w:val="0"/>
          <w:divBdr>
            <w:top w:val="none" w:sz="0" w:space="0" w:color="auto"/>
            <w:left w:val="none" w:sz="0" w:space="0" w:color="auto"/>
            <w:bottom w:val="none" w:sz="0" w:space="0" w:color="auto"/>
            <w:right w:val="none" w:sz="0" w:space="0" w:color="auto"/>
          </w:divBdr>
          <w:divsChild>
            <w:div w:id="1558512008">
              <w:marLeft w:val="0"/>
              <w:marRight w:val="0"/>
              <w:marTop w:val="0"/>
              <w:marBottom w:val="0"/>
              <w:divBdr>
                <w:top w:val="none" w:sz="0" w:space="0" w:color="auto"/>
                <w:left w:val="none" w:sz="0" w:space="0" w:color="auto"/>
                <w:bottom w:val="none" w:sz="0" w:space="0" w:color="auto"/>
                <w:right w:val="none" w:sz="0" w:space="0" w:color="auto"/>
              </w:divBdr>
              <w:divsChild>
                <w:div w:id="1658848812">
                  <w:marLeft w:val="0"/>
                  <w:marRight w:val="0"/>
                  <w:marTop w:val="0"/>
                  <w:marBottom w:val="0"/>
                  <w:divBdr>
                    <w:top w:val="none" w:sz="0" w:space="0" w:color="auto"/>
                    <w:left w:val="none" w:sz="0" w:space="0" w:color="auto"/>
                    <w:bottom w:val="none" w:sz="0" w:space="0" w:color="auto"/>
                    <w:right w:val="none" w:sz="0" w:space="0" w:color="auto"/>
                  </w:divBdr>
                </w:div>
              </w:divsChild>
            </w:div>
            <w:div w:id="696925831">
              <w:marLeft w:val="0"/>
              <w:marRight w:val="0"/>
              <w:marTop w:val="0"/>
              <w:marBottom w:val="0"/>
              <w:divBdr>
                <w:top w:val="none" w:sz="0" w:space="0" w:color="auto"/>
                <w:left w:val="none" w:sz="0" w:space="0" w:color="auto"/>
                <w:bottom w:val="none" w:sz="0" w:space="0" w:color="auto"/>
                <w:right w:val="none" w:sz="0" w:space="0" w:color="auto"/>
              </w:divBdr>
              <w:divsChild>
                <w:div w:id="12178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87924">
      <w:bodyDiv w:val="1"/>
      <w:marLeft w:val="0"/>
      <w:marRight w:val="0"/>
      <w:marTop w:val="0"/>
      <w:marBottom w:val="0"/>
      <w:divBdr>
        <w:top w:val="none" w:sz="0" w:space="0" w:color="auto"/>
        <w:left w:val="none" w:sz="0" w:space="0" w:color="auto"/>
        <w:bottom w:val="none" w:sz="0" w:space="0" w:color="auto"/>
        <w:right w:val="none" w:sz="0" w:space="0" w:color="auto"/>
      </w:divBdr>
      <w:divsChild>
        <w:div w:id="661349525">
          <w:marLeft w:val="0"/>
          <w:marRight w:val="0"/>
          <w:marTop w:val="0"/>
          <w:marBottom w:val="0"/>
          <w:divBdr>
            <w:top w:val="none" w:sz="0" w:space="0" w:color="auto"/>
            <w:left w:val="none" w:sz="0" w:space="0" w:color="auto"/>
            <w:bottom w:val="none" w:sz="0" w:space="0" w:color="auto"/>
            <w:right w:val="none" w:sz="0" w:space="0" w:color="auto"/>
          </w:divBdr>
          <w:divsChild>
            <w:div w:id="625695471">
              <w:marLeft w:val="0"/>
              <w:marRight w:val="0"/>
              <w:marTop w:val="0"/>
              <w:marBottom w:val="0"/>
              <w:divBdr>
                <w:top w:val="none" w:sz="0" w:space="0" w:color="auto"/>
                <w:left w:val="none" w:sz="0" w:space="0" w:color="auto"/>
                <w:bottom w:val="none" w:sz="0" w:space="0" w:color="auto"/>
                <w:right w:val="none" w:sz="0" w:space="0" w:color="auto"/>
              </w:divBdr>
              <w:divsChild>
                <w:div w:id="12263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796">
          <w:marLeft w:val="0"/>
          <w:marRight w:val="0"/>
          <w:marTop w:val="0"/>
          <w:marBottom w:val="0"/>
          <w:divBdr>
            <w:top w:val="none" w:sz="0" w:space="0" w:color="auto"/>
            <w:left w:val="none" w:sz="0" w:space="0" w:color="auto"/>
            <w:bottom w:val="none" w:sz="0" w:space="0" w:color="auto"/>
            <w:right w:val="none" w:sz="0" w:space="0" w:color="auto"/>
          </w:divBdr>
          <w:divsChild>
            <w:div w:id="208538644">
              <w:marLeft w:val="0"/>
              <w:marRight w:val="0"/>
              <w:marTop w:val="0"/>
              <w:marBottom w:val="0"/>
              <w:divBdr>
                <w:top w:val="none" w:sz="0" w:space="0" w:color="auto"/>
                <w:left w:val="none" w:sz="0" w:space="0" w:color="auto"/>
                <w:bottom w:val="none" w:sz="0" w:space="0" w:color="auto"/>
                <w:right w:val="none" w:sz="0" w:space="0" w:color="auto"/>
              </w:divBdr>
              <w:divsChild>
                <w:div w:id="1067072853">
                  <w:marLeft w:val="0"/>
                  <w:marRight w:val="0"/>
                  <w:marTop w:val="0"/>
                  <w:marBottom w:val="0"/>
                  <w:divBdr>
                    <w:top w:val="none" w:sz="0" w:space="0" w:color="auto"/>
                    <w:left w:val="none" w:sz="0" w:space="0" w:color="auto"/>
                    <w:bottom w:val="none" w:sz="0" w:space="0" w:color="auto"/>
                    <w:right w:val="none" w:sz="0" w:space="0" w:color="auto"/>
                  </w:divBdr>
                </w:div>
              </w:divsChild>
            </w:div>
            <w:div w:id="998576340">
              <w:marLeft w:val="0"/>
              <w:marRight w:val="0"/>
              <w:marTop w:val="0"/>
              <w:marBottom w:val="0"/>
              <w:divBdr>
                <w:top w:val="none" w:sz="0" w:space="0" w:color="auto"/>
                <w:left w:val="none" w:sz="0" w:space="0" w:color="auto"/>
                <w:bottom w:val="none" w:sz="0" w:space="0" w:color="auto"/>
                <w:right w:val="none" w:sz="0" w:space="0" w:color="auto"/>
              </w:divBdr>
              <w:divsChild>
                <w:div w:id="16824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7972">
          <w:marLeft w:val="0"/>
          <w:marRight w:val="0"/>
          <w:marTop w:val="0"/>
          <w:marBottom w:val="0"/>
          <w:divBdr>
            <w:top w:val="none" w:sz="0" w:space="0" w:color="auto"/>
            <w:left w:val="none" w:sz="0" w:space="0" w:color="auto"/>
            <w:bottom w:val="none" w:sz="0" w:space="0" w:color="auto"/>
            <w:right w:val="none" w:sz="0" w:space="0" w:color="auto"/>
          </w:divBdr>
          <w:divsChild>
            <w:div w:id="1984657106">
              <w:marLeft w:val="0"/>
              <w:marRight w:val="0"/>
              <w:marTop w:val="0"/>
              <w:marBottom w:val="0"/>
              <w:divBdr>
                <w:top w:val="none" w:sz="0" w:space="0" w:color="auto"/>
                <w:left w:val="none" w:sz="0" w:space="0" w:color="auto"/>
                <w:bottom w:val="none" w:sz="0" w:space="0" w:color="auto"/>
                <w:right w:val="none" w:sz="0" w:space="0" w:color="auto"/>
              </w:divBdr>
              <w:divsChild>
                <w:div w:id="60447707">
                  <w:marLeft w:val="0"/>
                  <w:marRight w:val="0"/>
                  <w:marTop w:val="0"/>
                  <w:marBottom w:val="0"/>
                  <w:divBdr>
                    <w:top w:val="none" w:sz="0" w:space="0" w:color="auto"/>
                    <w:left w:val="none" w:sz="0" w:space="0" w:color="auto"/>
                    <w:bottom w:val="none" w:sz="0" w:space="0" w:color="auto"/>
                    <w:right w:val="none" w:sz="0" w:space="0" w:color="auto"/>
                  </w:divBdr>
                </w:div>
              </w:divsChild>
            </w:div>
            <w:div w:id="162286981">
              <w:marLeft w:val="0"/>
              <w:marRight w:val="0"/>
              <w:marTop w:val="0"/>
              <w:marBottom w:val="0"/>
              <w:divBdr>
                <w:top w:val="none" w:sz="0" w:space="0" w:color="auto"/>
                <w:left w:val="none" w:sz="0" w:space="0" w:color="auto"/>
                <w:bottom w:val="none" w:sz="0" w:space="0" w:color="auto"/>
                <w:right w:val="none" w:sz="0" w:space="0" w:color="auto"/>
              </w:divBdr>
              <w:divsChild>
                <w:div w:id="342586166">
                  <w:marLeft w:val="0"/>
                  <w:marRight w:val="0"/>
                  <w:marTop w:val="0"/>
                  <w:marBottom w:val="0"/>
                  <w:divBdr>
                    <w:top w:val="none" w:sz="0" w:space="0" w:color="auto"/>
                    <w:left w:val="none" w:sz="0" w:space="0" w:color="auto"/>
                    <w:bottom w:val="none" w:sz="0" w:space="0" w:color="auto"/>
                    <w:right w:val="none" w:sz="0" w:space="0" w:color="auto"/>
                  </w:divBdr>
                </w:div>
              </w:divsChild>
            </w:div>
            <w:div w:id="1428231584">
              <w:marLeft w:val="0"/>
              <w:marRight w:val="0"/>
              <w:marTop w:val="0"/>
              <w:marBottom w:val="0"/>
              <w:divBdr>
                <w:top w:val="none" w:sz="0" w:space="0" w:color="auto"/>
                <w:left w:val="none" w:sz="0" w:space="0" w:color="auto"/>
                <w:bottom w:val="none" w:sz="0" w:space="0" w:color="auto"/>
                <w:right w:val="none" w:sz="0" w:space="0" w:color="auto"/>
              </w:divBdr>
              <w:divsChild>
                <w:div w:id="252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68372">
          <w:marLeft w:val="0"/>
          <w:marRight w:val="0"/>
          <w:marTop w:val="0"/>
          <w:marBottom w:val="0"/>
          <w:divBdr>
            <w:top w:val="none" w:sz="0" w:space="0" w:color="auto"/>
            <w:left w:val="none" w:sz="0" w:space="0" w:color="auto"/>
            <w:bottom w:val="none" w:sz="0" w:space="0" w:color="auto"/>
            <w:right w:val="none" w:sz="0" w:space="0" w:color="auto"/>
          </w:divBdr>
          <w:divsChild>
            <w:div w:id="336271277">
              <w:marLeft w:val="0"/>
              <w:marRight w:val="0"/>
              <w:marTop w:val="0"/>
              <w:marBottom w:val="0"/>
              <w:divBdr>
                <w:top w:val="none" w:sz="0" w:space="0" w:color="auto"/>
                <w:left w:val="none" w:sz="0" w:space="0" w:color="auto"/>
                <w:bottom w:val="none" w:sz="0" w:space="0" w:color="auto"/>
                <w:right w:val="none" w:sz="0" w:space="0" w:color="auto"/>
              </w:divBdr>
              <w:divsChild>
                <w:div w:id="365714939">
                  <w:marLeft w:val="0"/>
                  <w:marRight w:val="0"/>
                  <w:marTop w:val="0"/>
                  <w:marBottom w:val="0"/>
                  <w:divBdr>
                    <w:top w:val="none" w:sz="0" w:space="0" w:color="auto"/>
                    <w:left w:val="none" w:sz="0" w:space="0" w:color="auto"/>
                    <w:bottom w:val="none" w:sz="0" w:space="0" w:color="auto"/>
                    <w:right w:val="none" w:sz="0" w:space="0" w:color="auto"/>
                  </w:divBdr>
                </w:div>
              </w:divsChild>
            </w:div>
            <w:div w:id="1869176234">
              <w:marLeft w:val="0"/>
              <w:marRight w:val="0"/>
              <w:marTop w:val="0"/>
              <w:marBottom w:val="0"/>
              <w:divBdr>
                <w:top w:val="none" w:sz="0" w:space="0" w:color="auto"/>
                <w:left w:val="none" w:sz="0" w:space="0" w:color="auto"/>
                <w:bottom w:val="none" w:sz="0" w:space="0" w:color="auto"/>
                <w:right w:val="none" w:sz="0" w:space="0" w:color="auto"/>
              </w:divBdr>
              <w:divsChild>
                <w:div w:id="1486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1044">
      <w:bodyDiv w:val="1"/>
      <w:marLeft w:val="0"/>
      <w:marRight w:val="0"/>
      <w:marTop w:val="0"/>
      <w:marBottom w:val="0"/>
      <w:divBdr>
        <w:top w:val="none" w:sz="0" w:space="0" w:color="auto"/>
        <w:left w:val="none" w:sz="0" w:space="0" w:color="auto"/>
        <w:bottom w:val="none" w:sz="0" w:space="0" w:color="auto"/>
        <w:right w:val="none" w:sz="0" w:space="0" w:color="auto"/>
      </w:divBdr>
    </w:div>
    <w:div w:id="1495025534">
      <w:bodyDiv w:val="1"/>
      <w:marLeft w:val="0"/>
      <w:marRight w:val="0"/>
      <w:marTop w:val="0"/>
      <w:marBottom w:val="0"/>
      <w:divBdr>
        <w:top w:val="none" w:sz="0" w:space="0" w:color="auto"/>
        <w:left w:val="none" w:sz="0" w:space="0" w:color="auto"/>
        <w:bottom w:val="none" w:sz="0" w:space="0" w:color="auto"/>
        <w:right w:val="none" w:sz="0" w:space="0" w:color="auto"/>
      </w:divBdr>
      <w:divsChild>
        <w:div w:id="1418868933">
          <w:marLeft w:val="0"/>
          <w:marRight w:val="0"/>
          <w:marTop w:val="0"/>
          <w:marBottom w:val="0"/>
          <w:divBdr>
            <w:top w:val="none" w:sz="0" w:space="0" w:color="auto"/>
            <w:left w:val="none" w:sz="0" w:space="0" w:color="auto"/>
            <w:bottom w:val="none" w:sz="0" w:space="0" w:color="auto"/>
            <w:right w:val="none" w:sz="0" w:space="0" w:color="auto"/>
          </w:divBdr>
          <w:divsChild>
            <w:div w:id="1491823272">
              <w:marLeft w:val="0"/>
              <w:marRight w:val="0"/>
              <w:marTop w:val="0"/>
              <w:marBottom w:val="0"/>
              <w:divBdr>
                <w:top w:val="none" w:sz="0" w:space="0" w:color="auto"/>
                <w:left w:val="none" w:sz="0" w:space="0" w:color="auto"/>
                <w:bottom w:val="none" w:sz="0" w:space="0" w:color="auto"/>
                <w:right w:val="none" w:sz="0" w:space="0" w:color="auto"/>
              </w:divBdr>
              <w:divsChild>
                <w:div w:id="1372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9707">
          <w:marLeft w:val="0"/>
          <w:marRight w:val="0"/>
          <w:marTop w:val="0"/>
          <w:marBottom w:val="0"/>
          <w:divBdr>
            <w:top w:val="none" w:sz="0" w:space="0" w:color="auto"/>
            <w:left w:val="none" w:sz="0" w:space="0" w:color="auto"/>
            <w:bottom w:val="none" w:sz="0" w:space="0" w:color="auto"/>
            <w:right w:val="none" w:sz="0" w:space="0" w:color="auto"/>
          </w:divBdr>
          <w:divsChild>
            <w:div w:id="1947691538">
              <w:marLeft w:val="0"/>
              <w:marRight w:val="0"/>
              <w:marTop w:val="0"/>
              <w:marBottom w:val="0"/>
              <w:divBdr>
                <w:top w:val="none" w:sz="0" w:space="0" w:color="auto"/>
                <w:left w:val="none" w:sz="0" w:space="0" w:color="auto"/>
                <w:bottom w:val="none" w:sz="0" w:space="0" w:color="auto"/>
                <w:right w:val="none" w:sz="0" w:space="0" w:color="auto"/>
              </w:divBdr>
              <w:divsChild>
                <w:div w:id="1792163147">
                  <w:marLeft w:val="0"/>
                  <w:marRight w:val="0"/>
                  <w:marTop w:val="0"/>
                  <w:marBottom w:val="0"/>
                  <w:divBdr>
                    <w:top w:val="none" w:sz="0" w:space="0" w:color="auto"/>
                    <w:left w:val="none" w:sz="0" w:space="0" w:color="auto"/>
                    <w:bottom w:val="none" w:sz="0" w:space="0" w:color="auto"/>
                    <w:right w:val="none" w:sz="0" w:space="0" w:color="auto"/>
                  </w:divBdr>
                </w:div>
              </w:divsChild>
            </w:div>
            <w:div w:id="936981723">
              <w:marLeft w:val="0"/>
              <w:marRight w:val="0"/>
              <w:marTop w:val="0"/>
              <w:marBottom w:val="0"/>
              <w:divBdr>
                <w:top w:val="none" w:sz="0" w:space="0" w:color="auto"/>
                <w:left w:val="none" w:sz="0" w:space="0" w:color="auto"/>
                <w:bottom w:val="none" w:sz="0" w:space="0" w:color="auto"/>
                <w:right w:val="none" w:sz="0" w:space="0" w:color="auto"/>
              </w:divBdr>
              <w:divsChild>
                <w:div w:id="12732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41022">
      <w:bodyDiv w:val="1"/>
      <w:marLeft w:val="0"/>
      <w:marRight w:val="0"/>
      <w:marTop w:val="0"/>
      <w:marBottom w:val="0"/>
      <w:divBdr>
        <w:top w:val="none" w:sz="0" w:space="0" w:color="auto"/>
        <w:left w:val="none" w:sz="0" w:space="0" w:color="auto"/>
        <w:bottom w:val="none" w:sz="0" w:space="0" w:color="auto"/>
        <w:right w:val="none" w:sz="0" w:space="0" w:color="auto"/>
      </w:divBdr>
    </w:div>
    <w:div w:id="1678115892">
      <w:bodyDiv w:val="1"/>
      <w:marLeft w:val="0"/>
      <w:marRight w:val="0"/>
      <w:marTop w:val="0"/>
      <w:marBottom w:val="0"/>
      <w:divBdr>
        <w:top w:val="none" w:sz="0" w:space="0" w:color="auto"/>
        <w:left w:val="none" w:sz="0" w:space="0" w:color="auto"/>
        <w:bottom w:val="none" w:sz="0" w:space="0" w:color="auto"/>
        <w:right w:val="none" w:sz="0" w:space="0" w:color="auto"/>
      </w:divBdr>
    </w:div>
    <w:div w:id="1705253132">
      <w:bodyDiv w:val="1"/>
      <w:marLeft w:val="0"/>
      <w:marRight w:val="0"/>
      <w:marTop w:val="0"/>
      <w:marBottom w:val="0"/>
      <w:divBdr>
        <w:top w:val="none" w:sz="0" w:space="0" w:color="auto"/>
        <w:left w:val="none" w:sz="0" w:space="0" w:color="auto"/>
        <w:bottom w:val="none" w:sz="0" w:space="0" w:color="auto"/>
        <w:right w:val="none" w:sz="0" w:space="0" w:color="auto"/>
      </w:divBdr>
    </w:div>
    <w:div w:id="1728533047">
      <w:bodyDiv w:val="1"/>
      <w:marLeft w:val="0"/>
      <w:marRight w:val="0"/>
      <w:marTop w:val="0"/>
      <w:marBottom w:val="0"/>
      <w:divBdr>
        <w:top w:val="none" w:sz="0" w:space="0" w:color="auto"/>
        <w:left w:val="none" w:sz="0" w:space="0" w:color="auto"/>
        <w:bottom w:val="none" w:sz="0" w:space="0" w:color="auto"/>
        <w:right w:val="none" w:sz="0" w:space="0" w:color="auto"/>
      </w:divBdr>
      <w:divsChild>
        <w:div w:id="693844345">
          <w:marLeft w:val="0"/>
          <w:marRight w:val="0"/>
          <w:marTop w:val="0"/>
          <w:marBottom w:val="0"/>
          <w:divBdr>
            <w:top w:val="none" w:sz="0" w:space="0" w:color="auto"/>
            <w:left w:val="none" w:sz="0" w:space="0" w:color="auto"/>
            <w:bottom w:val="none" w:sz="0" w:space="0" w:color="auto"/>
            <w:right w:val="none" w:sz="0" w:space="0" w:color="auto"/>
          </w:divBdr>
          <w:divsChild>
            <w:div w:id="1515345854">
              <w:marLeft w:val="0"/>
              <w:marRight w:val="0"/>
              <w:marTop w:val="0"/>
              <w:marBottom w:val="0"/>
              <w:divBdr>
                <w:top w:val="none" w:sz="0" w:space="0" w:color="auto"/>
                <w:left w:val="none" w:sz="0" w:space="0" w:color="auto"/>
                <w:bottom w:val="none" w:sz="0" w:space="0" w:color="auto"/>
                <w:right w:val="none" w:sz="0" w:space="0" w:color="auto"/>
              </w:divBdr>
              <w:divsChild>
                <w:div w:id="2040277277">
                  <w:marLeft w:val="0"/>
                  <w:marRight w:val="0"/>
                  <w:marTop w:val="0"/>
                  <w:marBottom w:val="0"/>
                  <w:divBdr>
                    <w:top w:val="none" w:sz="0" w:space="0" w:color="auto"/>
                    <w:left w:val="none" w:sz="0" w:space="0" w:color="auto"/>
                    <w:bottom w:val="none" w:sz="0" w:space="0" w:color="auto"/>
                    <w:right w:val="none" w:sz="0" w:space="0" w:color="auto"/>
                  </w:divBdr>
                  <w:divsChild>
                    <w:div w:id="6273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2054">
      <w:bodyDiv w:val="1"/>
      <w:marLeft w:val="0"/>
      <w:marRight w:val="0"/>
      <w:marTop w:val="0"/>
      <w:marBottom w:val="0"/>
      <w:divBdr>
        <w:top w:val="none" w:sz="0" w:space="0" w:color="auto"/>
        <w:left w:val="none" w:sz="0" w:space="0" w:color="auto"/>
        <w:bottom w:val="none" w:sz="0" w:space="0" w:color="auto"/>
        <w:right w:val="none" w:sz="0" w:space="0" w:color="auto"/>
      </w:divBdr>
      <w:divsChild>
        <w:div w:id="2071801568">
          <w:marLeft w:val="0"/>
          <w:marRight w:val="0"/>
          <w:marTop w:val="0"/>
          <w:marBottom w:val="0"/>
          <w:divBdr>
            <w:top w:val="none" w:sz="0" w:space="0" w:color="auto"/>
            <w:left w:val="none" w:sz="0" w:space="0" w:color="auto"/>
            <w:bottom w:val="none" w:sz="0" w:space="0" w:color="auto"/>
            <w:right w:val="none" w:sz="0" w:space="0" w:color="auto"/>
          </w:divBdr>
          <w:divsChild>
            <w:div w:id="8410478">
              <w:marLeft w:val="0"/>
              <w:marRight w:val="0"/>
              <w:marTop w:val="0"/>
              <w:marBottom w:val="0"/>
              <w:divBdr>
                <w:top w:val="none" w:sz="0" w:space="0" w:color="auto"/>
                <w:left w:val="none" w:sz="0" w:space="0" w:color="auto"/>
                <w:bottom w:val="none" w:sz="0" w:space="0" w:color="auto"/>
                <w:right w:val="none" w:sz="0" w:space="0" w:color="auto"/>
              </w:divBdr>
              <w:divsChild>
                <w:div w:id="1246573475">
                  <w:marLeft w:val="0"/>
                  <w:marRight w:val="0"/>
                  <w:marTop w:val="0"/>
                  <w:marBottom w:val="0"/>
                  <w:divBdr>
                    <w:top w:val="none" w:sz="0" w:space="0" w:color="auto"/>
                    <w:left w:val="none" w:sz="0" w:space="0" w:color="auto"/>
                    <w:bottom w:val="none" w:sz="0" w:space="0" w:color="auto"/>
                    <w:right w:val="none" w:sz="0" w:space="0" w:color="auto"/>
                  </w:divBdr>
                  <w:divsChild>
                    <w:div w:id="621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8132">
      <w:bodyDiv w:val="1"/>
      <w:marLeft w:val="0"/>
      <w:marRight w:val="0"/>
      <w:marTop w:val="0"/>
      <w:marBottom w:val="0"/>
      <w:divBdr>
        <w:top w:val="none" w:sz="0" w:space="0" w:color="auto"/>
        <w:left w:val="none" w:sz="0" w:space="0" w:color="auto"/>
        <w:bottom w:val="none" w:sz="0" w:space="0" w:color="auto"/>
        <w:right w:val="none" w:sz="0" w:space="0" w:color="auto"/>
      </w:divBdr>
    </w:div>
    <w:div w:id="1923756507">
      <w:bodyDiv w:val="1"/>
      <w:marLeft w:val="0"/>
      <w:marRight w:val="0"/>
      <w:marTop w:val="0"/>
      <w:marBottom w:val="0"/>
      <w:divBdr>
        <w:top w:val="none" w:sz="0" w:space="0" w:color="auto"/>
        <w:left w:val="none" w:sz="0" w:space="0" w:color="auto"/>
        <w:bottom w:val="none" w:sz="0" w:space="0" w:color="auto"/>
        <w:right w:val="none" w:sz="0" w:space="0" w:color="auto"/>
      </w:divBdr>
      <w:divsChild>
        <w:div w:id="236257476">
          <w:marLeft w:val="0"/>
          <w:marRight w:val="0"/>
          <w:marTop w:val="0"/>
          <w:marBottom w:val="0"/>
          <w:divBdr>
            <w:top w:val="none" w:sz="0" w:space="0" w:color="auto"/>
            <w:left w:val="none" w:sz="0" w:space="0" w:color="auto"/>
            <w:bottom w:val="none" w:sz="0" w:space="0" w:color="auto"/>
            <w:right w:val="none" w:sz="0" w:space="0" w:color="auto"/>
          </w:divBdr>
          <w:divsChild>
            <w:div w:id="1648508065">
              <w:marLeft w:val="0"/>
              <w:marRight w:val="0"/>
              <w:marTop w:val="0"/>
              <w:marBottom w:val="0"/>
              <w:divBdr>
                <w:top w:val="none" w:sz="0" w:space="0" w:color="auto"/>
                <w:left w:val="none" w:sz="0" w:space="0" w:color="auto"/>
                <w:bottom w:val="none" w:sz="0" w:space="0" w:color="auto"/>
                <w:right w:val="none" w:sz="0" w:space="0" w:color="auto"/>
              </w:divBdr>
              <w:divsChild>
                <w:div w:id="212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7889">
      <w:bodyDiv w:val="1"/>
      <w:marLeft w:val="0"/>
      <w:marRight w:val="0"/>
      <w:marTop w:val="0"/>
      <w:marBottom w:val="0"/>
      <w:divBdr>
        <w:top w:val="none" w:sz="0" w:space="0" w:color="auto"/>
        <w:left w:val="none" w:sz="0" w:space="0" w:color="auto"/>
        <w:bottom w:val="none" w:sz="0" w:space="0" w:color="auto"/>
        <w:right w:val="none" w:sz="0" w:space="0" w:color="auto"/>
      </w:divBdr>
    </w:div>
    <w:div w:id="2123107036">
      <w:bodyDiv w:val="1"/>
      <w:marLeft w:val="0"/>
      <w:marRight w:val="0"/>
      <w:marTop w:val="0"/>
      <w:marBottom w:val="0"/>
      <w:divBdr>
        <w:top w:val="none" w:sz="0" w:space="0" w:color="auto"/>
        <w:left w:val="none" w:sz="0" w:space="0" w:color="auto"/>
        <w:bottom w:val="none" w:sz="0" w:space="0" w:color="auto"/>
        <w:right w:val="none" w:sz="0" w:space="0" w:color="auto"/>
      </w:divBdr>
      <w:divsChild>
        <w:div w:id="544176900">
          <w:marLeft w:val="0"/>
          <w:marRight w:val="0"/>
          <w:marTop w:val="0"/>
          <w:marBottom w:val="0"/>
          <w:divBdr>
            <w:top w:val="none" w:sz="0" w:space="0" w:color="auto"/>
            <w:left w:val="none" w:sz="0" w:space="0" w:color="auto"/>
            <w:bottom w:val="none" w:sz="0" w:space="0" w:color="auto"/>
            <w:right w:val="none" w:sz="0" w:space="0" w:color="auto"/>
          </w:divBdr>
          <w:divsChild>
            <w:div w:id="1201939472">
              <w:marLeft w:val="0"/>
              <w:marRight w:val="0"/>
              <w:marTop w:val="0"/>
              <w:marBottom w:val="0"/>
              <w:divBdr>
                <w:top w:val="none" w:sz="0" w:space="0" w:color="auto"/>
                <w:left w:val="none" w:sz="0" w:space="0" w:color="auto"/>
                <w:bottom w:val="none" w:sz="0" w:space="0" w:color="auto"/>
                <w:right w:val="none" w:sz="0" w:space="0" w:color="auto"/>
              </w:divBdr>
              <w:divsChild>
                <w:div w:id="406462091">
                  <w:marLeft w:val="0"/>
                  <w:marRight w:val="0"/>
                  <w:marTop w:val="0"/>
                  <w:marBottom w:val="0"/>
                  <w:divBdr>
                    <w:top w:val="none" w:sz="0" w:space="0" w:color="auto"/>
                    <w:left w:val="none" w:sz="0" w:space="0" w:color="auto"/>
                    <w:bottom w:val="none" w:sz="0" w:space="0" w:color="auto"/>
                    <w:right w:val="none" w:sz="0" w:space="0" w:color="auto"/>
                  </w:divBdr>
                </w:div>
              </w:divsChild>
            </w:div>
            <w:div w:id="1204058220">
              <w:marLeft w:val="0"/>
              <w:marRight w:val="0"/>
              <w:marTop w:val="0"/>
              <w:marBottom w:val="0"/>
              <w:divBdr>
                <w:top w:val="none" w:sz="0" w:space="0" w:color="auto"/>
                <w:left w:val="none" w:sz="0" w:space="0" w:color="auto"/>
                <w:bottom w:val="none" w:sz="0" w:space="0" w:color="auto"/>
                <w:right w:val="none" w:sz="0" w:space="0" w:color="auto"/>
              </w:divBdr>
              <w:divsChild>
                <w:div w:id="2093353720">
                  <w:marLeft w:val="0"/>
                  <w:marRight w:val="0"/>
                  <w:marTop w:val="0"/>
                  <w:marBottom w:val="0"/>
                  <w:divBdr>
                    <w:top w:val="none" w:sz="0" w:space="0" w:color="auto"/>
                    <w:left w:val="none" w:sz="0" w:space="0" w:color="auto"/>
                    <w:bottom w:val="none" w:sz="0" w:space="0" w:color="auto"/>
                    <w:right w:val="none" w:sz="0" w:space="0" w:color="auto"/>
                  </w:divBdr>
                </w:div>
              </w:divsChild>
            </w:div>
            <w:div w:id="1780666">
              <w:marLeft w:val="0"/>
              <w:marRight w:val="0"/>
              <w:marTop w:val="0"/>
              <w:marBottom w:val="0"/>
              <w:divBdr>
                <w:top w:val="none" w:sz="0" w:space="0" w:color="auto"/>
                <w:left w:val="none" w:sz="0" w:space="0" w:color="auto"/>
                <w:bottom w:val="none" w:sz="0" w:space="0" w:color="auto"/>
                <w:right w:val="none" w:sz="0" w:space="0" w:color="auto"/>
              </w:divBdr>
              <w:divsChild>
                <w:div w:id="2119373061">
                  <w:marLeft w:val="0"/>
                  <w:marRight w:val="0"/>
                  <w:marTop w:val="0"/>
                  <w:marBottom w:val="0"/>
                  <w:divBdr>
                    <w:top w:val="none" w:sz="0" w:space="0" w:color="auto"/>
                    <w:left w:val="none" w:sz="0" w:space="0" w:color="auto"/>
                    <w:bottom w:val="none" w:sz="0" w:space="0" w:color="auto"/>
                    <w:right w:val="none" w:sz="0" w:space="0" w:color="auto"/>
                  </w:divBdr>
                </w:div>
              </w:divsChild>
            </w:div>
            <w:div w:id="263272725">
              <w:marLeft w:val="0"/>
              <w:marRight w:val="0"/>
              <w:marTop w:val="0"/>
              <w:marBottom w:val="0"/>
              <w:divBdr>
                <w:top w:val="none" w:sz="0" w:space="0" w:color="auto"/>
                <w:left w:val="none" w:sz="0" w:space="0" w:color="auto"/>
                <w:bottom w:val="none" w:sz="0" w:space="0" w:color="auto"/>
                <w:right w:val="none" w:sz="0" w:space="0" w:color="auto"/>
              </w:divBdr>
              <w:divsChild>
                <w:div w:id="556356190">
                  <w:marLeft w:val="0"/>
                  <w:marRight w:val="0"/>
                  <w:marTop w:val="0"/>
                  <w:marBottom w:val="0"/>
                  <w:divBdr>
                    <w:top w:val="none" w:sz="0" w:space="0" w:color="auto"/>
                    <w:left w:val="none" w:sz="0" w:space="0" w:color="auto"/>
                    <w:bottom w:val="none" w:sz="0" w:space="0" w:color="auto"/>
                    <w:right w:val="none" w:sz="0" w:space="0" w:color="auto"/>
                  </w:divBdr>
                </w:div>
              </w:divsChild>
            </w:div>
            <w:div w:id="603154371">
              <w:marLeft w:val="0"/>
              <w:marRight w:val="0"/>
              <w:marTop w:val="0"/>
              <w:marBottom w:val="0"/>
              <w:divBdr>
                <w:top w:val="none" w:sz="0" w:space="0" w:color="auto"/>
                <w:left w:val="none" w:sz="0" w:space="0" w:color="auto"/>
                <w:bottom w:val="none" w:sz="0" w:space="0" w:color="auto"/>
                <w:right w:val="none" w:sz="0" w:space="0" w:color="auto"/>
              </w:divBdr>
              <w:divsChild>
                <w:div w:id="2063671039">
                  <w:marLeft w:val="0"/>
                  <w:marRight w:val="0"/>
                  <w:marTop w:val="0"/>
                  <w:marBottom w:val="0"/>
                  <w:divBdr>
                    <w:top w:val="none" w:sz="0" w:space="0" w:color="auto"/>
                    <w:left w:val="none" w:sz="0" w:space="0" w:color="auto"/>
                    <w:bottom w:val="none" w:sz="0" w:space="0" w:color="auto"/>
                    <w:right w:val="none" w:sz="0" w:space="0" w:color="auto"/>
                  </w:divBdr>
                </w:div>
              </w:divsChild>
            </w:div>
            <w:div w:id="1390227540">
              <w:marLeft w:val="0"/>
              <w:marRight w:val="0"/>
              <w:marTop w:val="0"/>
              <w:marBottom w:val="0"/>
              <w:divBdr>
                <w:top w:val="none" w:sz="0" w:space="0" w:color="auto"/>
                <w:left w:val="none" w:sz="0" w:space="0" w:color="auto"/>
                <w:bottom w:val="none" w:sz="0" w:space="0" w:color="auto"/>
                <w:right w:val="none" w:sz="0" w:space="0" w:color="auto"/>
              </w:divBdr>
              <w:divsChild>
                <w:div w:id="1127890433">
                  <w:marLeft w:val="0"/>
                  <w:marRight w:val="0"/>
                  <w:marTop w:val="0"/>
                  <w:marBottom w:val="0"/>
                  <w:divBdr>
                    <w:top w:val="none" w:sz="0" w:space="0" w:color="auto"/>
                    <w:left w:val="none" w:sz="0" w:space="0" w:color="auto"/>
                    <w:bottom w:val="none" w:sz="0" w:space="0" w:color="auto"/>
                    <w:right w:val="none" w:sz="0" w:space="0" w:color="auto"/>
                  </w:divBdr>
                </w:div>
              </w:divsChild>
            </w:div>
            <w:div w:id="503320658">
              <w:marLeft w:val="0"/>
              <w:marRight w:val="0"/>
              <w:marTop w:val="0"/>
              <w:marBottom w:val="0"/>
              <w:divBdr>
                <w:top w:val="none" w:sz="0" w:space="0" w:color="auto"/>
                <w:left w:val="none" w:sz="0" w:space="0" w:color="auto"/>
                <w:bottom w:val="none" w:sz="0" w:space="0" w:color="auto"/>
                <w:right w:val="none" w:sz="0" w:space="0" w:color="auto"/>
              </w:divBdr>
              <w:divsChild>
                <w:div w:id="689524198">
                  <w:marLeft w:val="0"/>
                  <w:marRight w:val="0"/>
                  <w:marTop w:val="0"/>
                  <w:marBottom w:val="0"/>
                  <w:divBdr>
                    <w:top w:val="none" w:sz="0" w:space="0" w:color="auto"/>
                    <w:left w:val="none" w:sz="0" w:space="0" w:color="auto"/>
                    <w:bottom w:val="none" w:sz="0" w:space="0" w:color="auto"/>
                    <w:right w:val="none" w:sz="0" w:space="0" w:color="auto"/>
                  </w:divBdr>
                </w:div>
              </w:divsChild>
            </w:div>
            <w:div w:id="1844777041">
              <w:marLeft w:val="0"/>
              <w:marRight w:val="0"/>
              <w:marTop w:val="0"/>
              <w:marBottom w:val="0"/>
              <w:divBdr>
                <w:top w:val="none" w:sz="0" w:space="0" w:color="auto"/>
                <w:left w:val="none" w:sz="0" w:space="0" w:color="auto"/>
                <w:bottom w:val="none" w:sz="0" w:space="0" w:color="auto"/>
                <w:right w:val="none" w:sz="0" w:space="0" w:color="auto"/>
              </w:divBdr>
              <w:divsChild>
                <w:div w:id="380637959">
                  <w:marLeft w:val="0"/>
                  <w:marRight w:val="0"/>
                  <w:marTop w:val="0"/>
                  <w:marBottom w:val="0"/>
                  <w:divBdr>
                    <w:top w:val="none" w:sz="0" w:space="0" w:color="auto"/>
                    <w:left w:val="none" w:sz="0" w:space="0" w:color="auto"/>
                    <w:bottom w:val="none" w:sz="0" w:space="0" w:color="auto"/>
                    <w:right w:val="none" w:sz="0" w:space="0" w:color="auto"/>
                  </w:divBdr>
                </w:div>
              </w:divsChild>
            </w:div>
            <w:div w:id="370501734">
              <w:marLeft w:val="0"/>
              <w:marRight w:val="0"/>
              <w:marTop w:val="0"/>
              <w:marBottom w:val="0"/>
              <w:divBdr>
                <w:top w:val="none" w:sz="0" w:space="0" w:color="auto"/>
                <w:left w:val="none" w:sz="0" w:space="0" w:color="auto"/>
                <w:bottom w:val="none" w:sz="0" w:space="0" w:color="auto"/>
                <w:right w:val="none" w:sz="0" w:space="0" w:color="auto"/>
              </w:divBdr>
              <w:divsChild>
                <w:div w:id="324818187">
                  <w:marLeft w:val="0"/>
                  <w:marRight w:val="0"/>
                  <w:marTop w:val="0"/>
                  <w:marBottom w:val="0"/>
                  <w:divBdr>
                    <w:top w:val="none" w:sz="0" w:space="0" w:color="auto"/>
                    <w:left w:val="none" w:sz="0" w:space="0" w:color="auto"/>
                    <w:bottom w:val="none" w:sz="0" w:space="0" w:color="auto"/>
                    <w:right w:val="none" w:sz="0" w:space="0" w:color="auto"/>
                  </w:divBdr>
                </w:div>
              </w:divsChild>
            </w:div>
            <w:div w:id="338699803">
              <w:marLeft w:val="0"/>
              <w:marRight w:val="0"/>
              <w:marTop w:val="0"/>
              <w:marBottom w:val="0"/>
              <w:divBdr>
                <w:top w:val="none" w:sz="0" w:space="0" w:color="auto"/>
                <w:left w:val="none" w:sz="0" w:space="0" w:color="auto"/>
                <w:bottom w:val="none" w:sz="0" w:space="0" w:color="auto"/>
                <w:right w:val="none" w:sz="0" w:space="0" w:color="auto"/>
              </w:divBdr>
              <w:divsChild>
                <w:div w:id="874777177">
                  <w:marLeft w:val="0"/>
                  <w:marRight w:val="0"/>
                  <w:marTop w:val="0"/>
                  <w:marBottom w:val="0"/>
                  <w:divBdr>
                    <w:top w:val="none" w:sz="0" w:space="0" w:color="auto"/>
                    <w:left w:val="none" w:sz="0" w:space="0" w:color="auto"/>
                    <w:bottom w:val="none" w:sz="0" w:space="0" w:color="auto"/>
                    <w:right w:val="none" w:sz="0" w:space="0" w:color="auto"/>
                  </w:divBdr>
                </w:div>
              </w:divsChild>
            </w:div>
            <w:div w:id="1173178664">
              <w:marLeft w:val="0"/>
              <w:marRight w:val="0"/>
              <w:marTop w:val="0"/>
              <w:marBottom w:val="0"/>
              <w:divBdr>
                <w:top w:val="none" w:sz="0" w:space="0" w:color="auto"/>
                <w:left w:val="none" w:sz="0" w:space="0" w:color="auto"/>
                <w:bottom w:val="none" w:sz="0" w:space="0" w:color="auto"/>
                <w:right w:val="none" w:sz="0" w:space="0" w:color="auto"/>
              </w:divBdr>
              <w:divsChild>
                <w:div w:id="1532762356">
                  <w:marLeft w:val="0"/>
                  <w:marRight w:val="0"/>
                  <w:marTop w:val="0"/>
                  <w:marBottom w:val="0"/>
                  <w:divBdr>
                    <w:top w:val="none" w:sz="0" w:space="0" w:color="auto"/>
                    <w:left w:val="none" w:sz="0" w:space="0" w:color="auto"/>
                    <w:bottom w:val="none" w:sz="0" w:space="0" w:color="auto"/>
                    <w:right w:val="none" w:sz="0" w:space="0" w:color="auto"/>
                  </w:divBdr>
                </w:div>
              </w:divsChild>
            </w:div>
            <w:div w:id="1637298816">
              <w:marLeft w:val="0"/>
              <w:marRight w:val="0"/>
              <w:marTop w:val="0"/>
              <w:marBottom w:val="0"/>
              <w:divBdr>
                <w:top w:val="none" w:sz="0" w:space="0" w:color="auto"/>
                <w:left w:val="none" w:sz="0" w:space="0" w:color="auto"/>
                <w:bottom w:val="none" w:sz="0" w:space="0" w:color="auto"/>
                <w:right w:val="none" w:sz="0" w:space="0" w:color="auto"/>
              </w:divBdr>
              <w:divsChild>
                <w:div w:id="720323911">
                  <w:marLeft w:val="0"/>
                  <w:marRight w:val="0"/>
                  <w:marTop w:val="0"/>
                  <w:marBottom w:val="0"/>
                  <w:divBdr>
                    <w:top w:val="none" w:sz="0" w:space="0" w:color="auto"/>
                    <w:left w:val="none" w:sz="0" w:space="0" w:color="auto"/>
                    <w:bottom w:val="none" w:sz="0" w:space="0" w:color="auto"/>
                    <w:right w:val="none" w:sz="0" w:space="0" w:color="auto"/>
                  </w:divBdr>
                </w:div>
              </w:divsChild>
            </w:div>
            <w:div w:id="588390281">
              <w:marLeft w:val="0"/>
              <w:marRight w:val="0"/>
              <w:marTop w:val="0"/>
              <w:marBottom w:val="0"/>
              <w:divBdr>
                <w:top w:val="none" w:sz="0" w:space="0" w:color="auto"/>
                <w:left w:val="none" w:sz="0" w:space="0" w:color="auto"/>
                <w:bottom w:val="none" w:sz="0" w:space="0" w:color="auto"/>
                <w:right w:val="none" w:sz="0" w:space="0" w:color="auto"/>
              </w:divBdr>
              <w:divsChild>
                <w:div w:id="1986812295">
                  <w:marLeft w:val="0"/>
                  <w:marRight w:val="0"/>
                  <w:marTop w:val="0"/>
                  <w:marBottom w:val="0"/>
                  <w:divBdr>
                    <w:top w:val="none" w:sz="0" w:space="0" w:color="auto"/>
                    <w:left w:val="none" w:sz="0" w:space="0" w:color="auto"/>
                    <w:bottom w:val="none" w:sz="0" w:space="0" w:color="auto"/>
                    <w:right w:val="none" w:sz="0" w:space="0" w:color="auto"/>
                  </w:divBdr>
                </w:div>
              </w:divsChild>
            </w:div>
            <w:div w:id="517278075">
              <w:marLeft w:val="0"/>
              <w:marRight w:val="0"/>
              <w:marTop w:val="0"/>
              <w:marBottom w:val="0"/>
              <w:divBdr>
                <w:top w:val="none" w:sz="0" w:space="0" w:color="auto"/>
                <w:left w:val="none" w:sz="0" w:space="0" w:color="auto"/>
                <w:bottom w:val="none" w:sz="0" w:space="0" w:color="auto"/>
                <w:right w:val="none" w:sz="0" w:space="0" w:color="auto"/>
              </w:divBdr>
              <w:divsChild>
                <w:div w:id="1769277485">
                  <w:marLeft w:val="0"/>
                  <w:marRight w:val="0"/>
                  <w:marTop w:val="0"/>
                  <w:marBottom w:val="0"/>
                  <w:divBdr>
                    <w:top w:val="none" w:sz="0" w:space="0" w:color="auto"/>
                    <w:left w:val="none" w:sz="0" w:space="0" w:color="auto"/>
                    <w:bottom w:val="none" w:sz="0" w:space="0" w:color="auto"/>
                    <w:right w:val="none" w:sz="0" w:space="0" w:color="auto"/>
                  </w:divBdr>
                </w:div>
              </w:divsChild>
            </w:div>
            <w:div w:id="205410356">
              <w:marLeft w:val="0"/>
              <w:marRight w:val="0"/>
              <w:marTop w:val="0"/>
              <w:marBottom w:val="0"/>
              <w:divBdr>
                <w:top w:val="none" w:sz="0" w:space="0" w:color="auto"/>
                <w:left w:val="none" w:sz="0" w:space="0" w:color="auto"/>
                <w:bottom w:val="none" w:sz="0" w:space="0" w:color="auto"/>
                <w:right w:val="none" w:sz="0" w:space="0" w:color="auto"/>
              </w:divBdr>
              <w:divsChild>
                <w:div w:id="1088229808">
                  <w:marLeft w:val="0"/>
                  <w:marRight w:val="0"/>
                  <w:marTop w:val="0"/>
                  <w:marBottom w:val="0"/>
                  <w:divBdr>
                    <w:top w:val="none" w:sz="0" w:space="0" w:color="auto"/>
                    <w:left w:val="none" w:sz="0" w:space="0" w:color="auto"/>
                    <w:bottom w:val="none" w:sz="0" w:space="0" w:color="auto"/>
                    <w:right w:val="none" w:sz="0" w:space="0" w:color="auto"/>
                  </w:divBdr>
                </w:div>
              </w:divsChild>
            </w:div>
            <w:div w:id="11147241">
              <w:marLeft w:val="0"/>
              <w:marRight w:val="0"/>
              <w:marTop w:val="0"/>
              <w:marBottom w:val="0"/>
              <w:divBdr>
                <w:top w:val="none" w:sz="0" w:space="0" w:color="auto"/>
                <w:left w:val="none" w:sz="0" w:space="0" w:color="auto"/>
                <w:bottom w:val="none" w:sz="0" w:space="0" w:color="auto"/>
                <w:right w:val="none" w:sz="0" w:space="0" w:color="auto"/>
              </w:divBdr>
              <w:divsChild>
                <w:div w:id="2106997163">
                  <w:marLeft w:val="0"/>
                  <w:marRight w:val="0"/>
                  <w:marTop w:val="0"/>
                  <w:marBottom w:val="0"/>
                  <w:divBdr>
                    <w:top w:val="none" w:sz="0" w:space="0" w:color="auto"/>
                    <w:left w:val="none" w:sz="0" w:space="0" w:color="auto"/>
                    <w:bottom w:val="none" w:sz="0" w:space="0" w:color="auto"/>
                    <w:right w:val="none" w:sz="0" w:space="0" w:color="auto"/>
                  </w:divBdr>
                </w:div>
              </w:divsChild>
            </w:div>
            <w:div w:id="1954941005">
              <w:marLeft w:val="0"/>
              <w:marRight w:val="0"/>
              <w:marTop w:val="0"/>
              <w:marBottom w:val="0"/>
              <w:divBdr>
                <w:top w:val="none" w:sz="0" w:space="0" w:color="auto"/>
                <w:left w:val="none" w:sz="0" w:space="0" w:color="auto"/>
                <w:bottom w:val="none" w:sz="0" w:space="0" w:color="auto"/>
                <w:right w:val="none" w:sz="0" w:space="0" w:color="auto"/>
              </w:divBdr>
              <w:divsChild>
                <w:div w:id="1185363174">
                  <w:marLeft w:val="0"/>
                  <w:marRight w:val="0"/>
                  <w:marTop w:val="0"/>
                  <w:marBottom w:val="0"/>
                  <w:divBdr>
                    <w:top w:val="none" w:sz="0" w:space="0" w:color="auto"/>
                    <w:left w:val="none" w:sz="0" w:space="0" w:color="auto"/>
                    <w:bottom w:val="none" w:sz="0" w:space="0" w:color="auto"/>
                    <w:right w:val="none" w:sz="0" w:space="0" w:color="auto"/>
                  </w:divBdr>
                </w:div>
              </w:divsChild>
            </w:div>
            <w:div w:id="1258640837">
              <w:marLeft w:val="0"/>
              <w:marRight w:val="0"/>
              <w:marTop w:val="0"/>
              <w:marBottom w:val="0"/>
              <w:divBdr>
                <w:top w:val="none" w:sz="0" w:space="0" w:color="auto"/>
                <w:left w:val="none" w:sz="0" w:space="0" w:color="auto"/>
                <w:bottom w:val="none" w:sz="0" w:space="0" w:color="auto"/>
                <w:right w:val="none" w:sz="0" w:space="0" w:color="auto"/>
              </w:divBdr>
              <w:divsChild>
                <w:div w:id="1933587922">
                  <w:marLeft w:val="0"/>
                  <w:marRight w:val="0"/>
                  <w:marTop w:val="0"/>
                  <w:marBottom w:val="0"/>
                  <w:divBdr>
                    <w:top w:val="none" w:sz="0" w:space="0" w:color="auto"/>
                    <w:left w:val="none" w:sz="0" w:space="0" w:color="auto"/>
                    <w:bottom w:val="none" w:sz="0" w:space="0" w:color="auto"/>
                    <w:right w:val="none" w:sz="0" w:space="0" w:color="auto"/>
                  </w:divBdr>
                </w:div>
              </w:divsChild>
            </w:div>
            <w:div w:id="1480727333">
              <w:marLeft w:val="0"/>
              <w:marRight w:val="0"/>
              <w:marTop w:val="0"/>
              <w:marBottom w:val="0"/>
              <w:divBdr>
                <w:top w:val="none" w:sz="0" w:space="0" w:color="auto"/>
                <w:left w:val="none" w:sz="0" w:space="0" w:color="auto"/>
                <w:bottom w:val="none" w:sz="0" w:space="0" w:color="auto"/>
                <w:right w:val="none" w:sz="0" w:space="0" w:color="auto"/>
              </w:divBdr>
              <w:divsChild>
                <w:div w:id="440684692">
                  <w:marLeft w:val="0"/>
                  <w:marRight w:val="0"/>
                  <w:marTop w:val="0"/>
                  <w:marBottom w:val="0"/>
                  <w:divBdr>
                    <w:top w:val="none" w:sz="0" w:space="0" w:color="auto"/>
                    <w:left w:val="none" w:sz="0" w:space="0" w:color="auto"/>
                    <w:bottom w:val="none" w:sz="0" w:space="0" w:color="auto"/>
                    <w:right w:val="none" w:sz="0" w:space="0" w:color="auto"/>
                  </w:divBdr>
                </w:div>
              </w:divsChild>
            </w:div>
            <w:div w:id="1770197301">
              <w:marLeft w:val="0"/>
              <w:marRight w:val="0"/>
              <w:marTop w:val="0"/>
              <w:marBottom w:val="0"/>
              <w:divBdr>
                <w:top w:val="none" w:sz="0" w:space="0" w:color="auto"/>
                <w:left w:val="none" w:sz="0" w:space="0" w:color="auto"/>
                <w:bottom w:val="none" w:sz="0" w:space="0" w:color="auto"/>
                <w:right w:val="none" w:sz="0" w:space="0" w:color="auto"/>
              </w:divBdr>
              <w:divsChild>
                <w:div w:id="18458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8765">
          <w:marLeft w:val="0"/>
          <w:marRight w:val="0"/>
          <w:marTop w:val="0"/>
          <w:marBottom w:val="0"/>
          <w:divBdr>
            <w:top w:val="none" w:sz="0" w:space="0" w:color="auto"/>
            <w:left w:val="none" w:sz="0" w:space="0" w:color="auto"/>
            <w:bottom w:val="none" w:sz="0" w:space="0" w:color="auto"/>
            <w:right w:val="none" w:sz="0" w:space="0" w:color="auto"/>
          </w:divBdr>
          <w:divsChild>
            <w:div w:id="1982076072">
              <w:marLeft w:val="0"/>
              <w:marRight w:val="0"/>
              <w:marTop w:val="0"/>
              <w:marBottom w:val="0"/>
              <w:divBdr>
                <w:top w:val="none" w:sz="0" w:space="0" w:color="auto"/>
                <w:left w:val="none" w:sz="0" w:space="0" w:color="auto"/>
                <w:bottom w:val="none" w:sz="0" w:space="0" w:color="auto"/>
                <w:right w:val="none" w:sz="0" w:space="0" w:color="auto"/>
              </w:divBdr>
              <w:divsChild>
                <w:div w:id="1891650522">
                  <w:marLeft w:val="0"/>
                  <w:marRight w:val="0"/>
                  <w:marTop w:val="0"/>
                  <w:marBottom w:val="0"/>
                  <w:divBdr>
                    <w:top w:val="none" w:sz="0" w:space="0" w:color="auto"/>
                    <w:left w:val="none" w:sz="0" w:space="0" w:color="auto"/>
                    <w:bottom w:val="none" w:sz="0" w:space="0" w:color="auto"/>
                    <w:right w:val="none" w:sz="0" w:space="0" w:color="auto"/>
                  </w:divBdr>
                </w:div>
              </w:divsChild>
            </w:div>
            <w:div w:id="1042940829">
              <w:marLeft w:val="0"/>
              <w:marRight w:val="0"/>
              <w:marTop w:val="0"/>
              <w:marBottom w:val="0"/>
              <w:divBdr>
                <w:top w:val="none" w:sz="0" w:space="0" w:color="auto"/>
                <w:left w:val="none" w:sz="0" w:space="0" w:color="auto"/>
                <w:bottom w:val="none" w:sz="0" w:space="0" w:color="auto"/>
                <w:right w:val="none" w:sz="0" w:space="0" w:color="auto"/>
              </w:divBdr>
              <w:divsChild>
                <w:div w:id="256446183">
                  <w:marLeft w:val="0"/>
                  <w:marRight w:val="0"/>
                  <w:marTop w:val="0"/>
                  <w:marBottom w:val="0"/>
                  <w:divBdr>
                    <w:top w:val="none" w:sz="0" w:space="0" w:color="auto"/>
                    <w:left w:val="none" w:sz="0" w:space="0" w:color="auto"/>
                    <w:bottom w:val="none" w:sz="0" w:space="0" w:color="auto"/>
                    <w:right w:val="none" w:sz="0" w:space="0" w:color="auto"/>
                  </w:divBdr>
                </w:div>
              </w:divsChild>
            </w:div>
            <w:div w:id="623075049">
              <w:marLeft w:val="0"/>
              <w:marRight w:val="0"/>
              <w:marTop w:val="0"/>
              <w:marBottom w:val="0"/>
              <w:divBdr>
                <w:top w:val="none" w:sz="0" w:space="0" w:color="auto"/>
                <w:left w:val="none" w:sz="0" w:space="0" w:color="auto"/>
                <w:bottom w:val="none" w:sz="0" w:space="0" w:color="auto"/>
                <w:right w:val="none" w:sz="0" w:space="0" w:color="auto"/>
              </w:divBdr>
              <w:divsChild>
                <w:div w:id="665742281">
                  <w:marLeft w:val="0"/>
                  <w:marRight w:val="0"/>
                  <w:marTop w:val="0"/>
                  <w:marBottom w:val="0"/>
                  <w:divBdr>
                    <w:top w:val="none" w:sz="0" w:space="0" w:color="auto"/>
                    <w:left w:val="none" w:sz="0" w:space="0" w:color="auto"/>
                    <w:bottom w:val="none" w:sz="0" w:space="0" w:color="auto"/>
                    <w:right w:val="none" w:sz="0" w:space="0" w:color="auto"/>
                  </w:divBdr>
                </w:div>
              </w:divsChild>
            </w:div>
            <w:div w:id="208617552">
              <w:marLeft w:val="0"/>
              <w:marRight w:val="0"/>
              <w:marTop w:val="0"/>
              <w:marBottom w:val="0"/>
              <w:divBdr>
                <w:top w:val="none" w:sz="0" w:space="0" w:color="auto"/>
                <w:left w:val="none" w:sz="0" w:space="0" w:color="auto"/>
                <w:bottom w:val="none" w:sz="0" w:space="0" w:color="auto"/>
                <w:right w:val="none" w:sz="0" w:space="0" w:color="auto"/>
              </w:divBdr>
              <w:divsChild>
                <w:div w:id="963000154">
                  <w:marLeft w:val="0"/>
                  <w:marRight w:val="0"/>
                  <w:marTop w:val="0"/>
                  <w:marBottom w:val="0"/>
                  <w:divBdr>
                    <w:top w:val="none" w:sz="0" w:space="0" w:color="auto"/>
                    <w:left w:val="none" w:sz="0" w:space="0" w:color="auto"/>
                    <w:bottom w:val="none" w:sz="0" w:space="0" w:color="auto"/>
                    <w:right w:val="none" w:sz="0" w:space="0" w:color="auto"/>
                  </w:divBdr>
                </w:div>
              </w:divsChild>
            </w:div>
            <w:div w:id="1415395234">
              <w:marLeft w:val="0"/>
              <w:marRight w:val="0"/>
              <w:marTop w:val="0"/>
              <w:marBottom w:val="0"/>
              <w:divBdr>
                <w:top w:val="none" w:sz="0" w:space="0" w:color="auto"/>
                <w:left w:val="none" w:sz="0" w:space="0" w:color="auto"/>
                <w:bottom w:val="none" w:sz="0" w:space="0" w:color="auto"/>
                <w:right w:val="none" w:sz="0" w:space="0" w:color="auto"/>
              </w:divBdr>
              <w:divsChild>
                <w:div w:id="1603411458">
                  <w:marLeft w:val="0"/>
                  <w:marRight w:val="0"/>
                  <w:marTop w:val="0"/>
                  <w:marBottom w:val="0"/>
                  <w:divBdr>
                    <w:top w:val="none" w:sz="0" w:space="0" w:color="auto"/>
                    <w:left w:val="none" w:sz="0" w:space="0" w:color="auto"/>
                    <w:bottom w:val="none" w:sz="0" w:space="0" w:color="auto"/>
                    <w:right w:val="none" w:sz="0" w:space="0" w:color="auto"/>
                  </w:divBdr>
                </w:div>
              </w:divsChild>
            </w:div>
            <w:div w:id="828327927">
              <w:marLeft w:val="0"/>
              <w:marRight w:val="0"/>
              <w:marTop w:val="0"/>
              <w:marBottom w:val="0"/>
              <w:divBdr>
                <w:top w:val="none" w:sz="0" w:space="0" w:color="auto"/>
                <w:left w:val="none" w:sz="0" w:space="0" w:color="auto"/>
                <w:bottom w:val="none" w:sz="0" w:space="0" w:color="auto"/>
                <w:right w:val="none" w:sz="0" w:space="0" w:color="auto"/>
              </w:divBdr>
              <w:divsChild>
                <w:div w:id="1799450166">
                  <w:marLeft w:val="0"/>
                  <w:marRight w:val="0"/>
                  <w:marTop w:val="0"/>
                  <w:marBottom w:val="0"/>
                  <w:divBdr>
                    <w:top w:val="none" w:sz="0" w:space="0" w:color="auto"/>
                    <w:left w:val="none" w:sz="0" w:space="0" w:color="auto"/>
                    <w:bottom w:val="none" w:sz="0" w:space="0" w:color="auto"/>
                    <w:right w:val="none" w:sz="0" w:space="0" w:color="auto"/>
                  </w:divBdr>
                </w:div>
              </w:divsChild>
            </w:div>
            <w:div w:id="2010910674">
              <w:marLeft w:val="0"/>
              <w:marRight w:val="0"/>
              <w:marTop w:val="0"/>
              <w:marBottom w:val="0"/>
              <w:divBdr>
                <w:top w:val="none" w:sz="0" w:space="0" w:color="auto"/>
                <w:left w:val="none" w:sz="0" w:space="0" w:color="auto"/>
                <w:bottom w:val="none" w:sz="0" w:space="0" w:color="auto"/>
                <w:right w:val="none" w:sz="0" w:space="0" w:color="auto"/>
              </w:divBdr>
              <w:divsChild>
                <w:div w:id="2098210128">
                  <w:marLeft w:val="0"/>
                  <w:marRight w:val="0"/>
                  <w:marTop w:val="0"/>
                  <w:marBottom w:val="0"/>
                  <w:divBdr>
                    <w:top w:val="none" w:sz="0" w:space="0" w:color="auto"/>
                    <w:left w:val="none" w:sz="0" w:space="0" w:color="auto"/>
                    <w:bottom w:val="none" w:sz="0" w:space="0" w:color="auto"/>
                    <w:right w:val="none" w:sz="0" w:space="0" w:color="auto"/>
                  </w:divBdr>
                </w:div>
              </w:divsChild>
            </w:div>
            <w:div w:id="26685929">
              <w:marLeft w:val="0"/>
              <w:marRight w:val="0"/>
              <w:marTop w:val="0"/>
              <w:marBottom w:val="0"/>
              <w:divBdr>
                <w:top w:val="none" w:sz="0" w:space="0" w:color="auto"/>
                <w:left w:val="none" w:sz="0" w:space="0" w:color="auto"/>
                <w:bottom w:val="none" w:sz="0" w:space="0" w:color="auto"/>
                <w:right w:val="none" w:sz="0" w:space="0" w:color="auto"/>
              </w:divBdr>
              <w:divsChild>
                <w:div w:id="184638030">
                  <w:marLeft w:val="0"/>
                  <w:marRight w:val="0"/>
                  <w:marTop w:val="0"/>
                  <w:marBottom w:val="0"/>
                  <w:divBdr>
                    <w:top w:val="none" w:sz="0" w:space="0" w:color="auto"/>
                    <w:left w:val="none" w:sz="0" w:space="0" w:color="auto"/>
                    <w:bottom w:val="none" w:sz="0" w:space="0" w:color="auto"/>
                    <w:right w:val="none" w:sz="0" w:space="0" w:color="auto"/>
                  </w:divBdr>
                </w:div>
              </w:divsChild>
            </w:div>
            <w:div w:id="1068771045">
              <w:marLeft w:val="0"/>
              <w:marRight w:val="0"/>
              <w:marTop w:val="0"/>
              <w:marBottom w:val="0"/>
              <w:divBdr>
                <w:top w:val="none" w:sz="0" w:space="0" w:color="auto"/>
                <w:left w:val="none" w:sz="0" w:space="0" w:color="auto"/>
                <w:bottom w:val="none" w:sz="0" w:space="0" w:color="auto"/>
                <w:right w:val="none" w:sz="0" w:space="0" w:color="auto"/>
              </w:divBdr>
              <w:divsChild>
                <w:div w:id="1108698721">
                  <w:marLeft w:val="0"/>
                  <w:marRight w:val="0"/>
                  <w:marTop w:val="0"/>
                  <w:marBottom w:val="0"/>
                  <w:divBdr>
                    <w:top w:val="none" w:sz="0" w:space="0" w:color="auto"/>
                    <w:left w:val="none" w:sz="0" w:space="0" w:color="auto"/>
                    <w:bottom w:val="none" w:sz="0" w:space="0" w:color="auto"/>
                    <w:right w:val="none" w:sz="0" w:space="0" w:color="auto"/>
                  </w:divBdr>
                </w:div>
              </w:divsChild>
            </w:div>
            <w:div w:id="1809201773">
              <w:marLeft w:val="0"/>
              <w:marRight w:val="0"/>
              <w:marTop w:val="0"/>
              <w:marBottom w:val="0"/>
              <w:divBdr>
                <w:top w:val="none" w:sz="0" w:space="0" w:color="auto"/>
                <w:left w:val="none" w:sz="0" w:space="0" w:color="auto"/>
                <w:bottom w:val="none" w:sz="0" w:space="0" w:color="auto"/>
                <w:right w:val="none" w:sz="0" w:space="0" w:color="auto"/>
              </w:divBdr>
              <w:divsChild>
                <w:div w:id="838738495">
                  <w:marLeft w:val="0"/>
                  <w:marRight w:val="0"/>
                  <w:marTop w:val="0"/>
                  <w:marBottom w:val="0"/>
                  <w:divBdr>
                    <w:top w:val="none" w:sz="0" w:space="0" w:color="auto"/>
                    <w:left w:val="none" w:sz="0" w:space="0" w:color="auto"/>
                    <w:bottom w:val="none" w:sz="0" w:space="0" w:color="auto"/>
                    <w:right w:val="none" w:sz="0" w:space="0" w:color="auto"/>
                  </w:divBdr>
                </w:div>
              </w:divsChild>
            </w:div>
            <w:div w:id="142162380">
              <w:marLeft w:val="0"/>
              <w:marRight w:val="0"/>
              <w:marTop w:val="0"/>
              <w:marBottom w:val="0"/>
              <w:divBdr>
                <w:top w:val="none" w:sz="0" w:space="0" w:color="auto"/>
                <w:left w:val="none" w:sz="0" w:space="0" w:color="auto"/>
                <w:bottom w:val="none" w:sz="0" w:space="0" w:color="auto"/>
                <w:right w:val="none" w:sz="0" w:space="0" w:color="auto"/>
              </w:divBdr>
              <w:divsChild>
                <w:div w:id="132525740">
                  <w:marLeft w:val="0"/>
                  <w:marRight w:val="0"/>
                  <w:marTop w:val="0"/>
                  <w:marBottom w:val="0"/>
                  <w:divBdr>
                    <w:top w:val="none" w:sz="0" w:space="0" w:color="auto"/>
                    <w:left w:val="none" w:sz="0" w:space="0" w:color="auto"/>
                    <w:bottom w:val="none" w:sz="0" w:space="0" w:color="auto"/>
                    <w:right w:val="none" w:sz="0" w:space="0" w:color="auto"/>
                  </w:divBdr>
                </w:div>
              </w:divsChild>
            </w:div>
            <w:div w:id="1592281093">
              <w:marLeft w:val="0"/>
              <w:marRight w:val="0"/>
              <w:marTop w:val="0"/>
              <w:marBottom w:val="0"/>
              <w:divBdr>
                <w:top w:val="none" w:sz="0" w:space="0" w:color="auto"/>
                <w:left w:val="none" w:sz="0" w:space="0" w:color="auto"/>
                <w:bottom w:val="none" w:sz="0" w:space="0" w:color="auto"/>
                <w:right w:val="none" w:sz="0" w:space="0" w:color="auto"/>
              </w:divBdr>
              <w:divsChild>
                <w:div w:id="1882010620">
                  <w:marLeft w:val="0"/>
                  <w:marRight w:val="0"/>
                  <w:marTop w:val="0"/>
                  <w:marBottom w:val="0"/>
                  <w:divBdr>
                    <w:top w:val="none" w:sz="0" w:space="0" w:color="auto"/>
                    <w:left w:val="none" w:sz="0" w:space="0" w:color="auto"/>
                    <w:bottom w:val="none" w:sz="0" w:space="0" w:color="auto"/>
                    <w:right w:val="none" w:sz="0" w:space="0" w:color="auto"/>
                  </w:divBdr>
                </w:div>
              </w:divsChild>
            </w:div>
            <w:div w:id="1618683393">
              <w:marLeft w:val="0"/>
              <w:marRight w:val="0"/>
              <w:marTop w:val="0"/>
              <w:marBottom w:val="0"/>
              <w:divBdr>
                <w:top w:val="none" w:sz="0" w:space="0" w:color="auto"/>
                <w:left w:val="none" w:sz="0" w:space="0" w:color="auto"/>
                <w:bottom w:val="none" w:sz="0" w:space="0" w:color="auto"/>
                <w:right w:val="none" w:sz="0" w:space="0" w:color="auto"/>
              </w:divBdr>
              <w:divsChild>
                <w:div w:id="2029863666">
                  <w:marLeft w:val="0"/>
                  <w:marRight w:val="0"/>
                  <w:marTop w:val="0"/>
                  <w:marBottom w:val="0"/>
                  <w:divBdr>
                    <w:top w:val="none" w:sz="0" w:space="0" w:color="auto"/>
                    <w:left w:val="none" w:sz="0" w:space="0" w:color="auto"/>
                    <w:bottom w:val="none" w:sz="0" w:space="0" w:color="auto"/>
                    <w:right w:val="none" w:sz="0" w:space="0" w:color="auto"/>
                  </w:divBdr>
                </w:div>
              </w:divsChild>
            </w:div>
            <w:div w:id="1855804431">
              <w:marLeft w:val="0"/>
              <w:marRight w:val="0"/>
              <w:marTop w:val="0"/>
              <w:marBottom w:val="0"/>
              <w:divBdr>
                <w:top w:val="none" w:sz="0" w:space="0" w:color="auto"/>
                <w:left w:val="none" w:sz="0" w:space="0" w:color="auto"/>
                <w:bottom w:val="none" w:sz="0" w:space="0" w:color="auto"/>
                <w:right w:val="none" w:sz="0" w:space="0" w:color="auto"/>
              </w:divBdr>
              <w:divsChild>
                <w:div w:id="314145123">
                  <w:marLeft w:val="0"/>
                  <w:marRight w:val="0"/>
                  <w:marTop w:val="0"/>
                  <w:marBottom w:val="0"/>
                  <w:divBdr>
                    <w:top w:val="none" w:sz="0" w:space="0" w:color="auto"/>
                    <w:left w:val="none" w:sz="0" w:space="0" w:color="auto"/>
                    <w:bottom w:val="none" w:sz="0" w:space="0" w:color="auto"/>
                    <w:right w:val="none" w:sz="0" w:space="0" w:color="auto"/>
                  </w:divBdr>
                </w:div>
              </w:divsChild>
            </w:div>
            <w:div w:id="2069254989">
              <w:marLeft w:val="0"/>
              <w:marRight w:val="0"/>
              <w:marTop w:val="0"/>
              <w:marBottom w:val="0"/>
              <w:divBdr>
                <w:top w:val="none" w:sz="0" w:space="0" w:color="auto"/>
                <w:left w:val="none" w:sz="0" w:space="0" w:color="auto"/>
                <w:bottom w:val="none" w:sz="0" w:space="0" w:color="auto"/>
                <w:right w:val="none" w:sz="0" w:space="0" w:color="auto"/>
              </w:divBdr>
              <w:divsChild>
                <w:div w:id="1906646345">
                  <w:marLeft w:val="0"/>
                  <w:marRight w:val="0"/>
                  <w:marTop w:val="0"/>
                  <w:marBottom w:val="0"/>
                  <w:divBdr>
                    <w:top w:val="none" w:sz="0" w:space="0" w:color="auto"/>
                    <w:left w:val="none" w:sz="0" w:space="0" w:color="auto"/>
                    <w:bottom w:val="none" w:sz="0" w:space="0" w:color="auto"/>
                    <w:right w:val="none" w:sz="0" w:space="0" w:color="auto"/>
                  </w:divBdr>
                </w:div>
              </w:divsChild>
            </w:div>
            <w:div w:id="1136142315">
              <w:marLeft w:val="0"/>
              <w:marRight w:val="0"/>
              <w:marTop w:val="0"/>
              <w:marBottom w:val="0"/>
              <w:divBdr>
                <w:top w:val="none" w:sz="0" w:space="0" w:color="auto"/>
                <w:left w:val="none" w:sz="0" w:space="0" w:color="auto"/>
                <w:bottom w:val="none" w:sz="0" w:space="0" w:color="auto"/>
                <w:right w:val="none" w:sz="0" w:space="0" w:color="auto"/>
              </w:divBdr>
              <w:divsChild>
                <w:div w:id="1167742653">
                  <w:marLeft w:val="0"/>
                  <w:marRight w:val="0"/>
                  <w:marTop w:val="0"/>
                  <w:marBottom w:val="0"/>
                  <w:divBdr>
                    <w:top w:val="none" w:sz="0" w:space="0" w:color="auto"/>
                    <w:left w:val="none" w:sz="0" w:space="0" w:color="auto"/>
                    <w:bottom w:val="none" w:sz="0" w:space="0" w:color="auto"/>
                    <w:right w:val="none" w:sz="0" w:space="0" w:color="auto"/>
                  </w:divBdr>
                </w:div>
              </w:divsChild>
            </w:div>
            <w:div w:id="318537458">
              <w:marLeft w:val="0"/>
              <w:marRight w:val="0"/>
              <w:marTop w:val="0"/>
              <w:marBottom w:val="0"/>
              <w:divBdr>
                <w:top w:val="none" w:sz="0" w:space="0" w:color="auto"/>
                <w:left w:val="none" w:sz="0" w:space="0" w:color="auto"/>
                <w:bottom w:val="none" w:sz="0" w:space="0" w:color="auto"/>
                <w:right w:val="none" w:sz="0" w:space="0" w:color="auto"/>
              </w:divBdr>
              <w:divsChild>
                <w:div w:id="1666516009">
                  <w:marLeft w:val="0"/>
                  <w:marRight w:val="0"/>
                  <w:marTop w:val="0"/>
                  <w:marBottom w:val="0"/>
                  <w:divBdr>
                    <w:top w:val="none" w:sz="0" w:space="0" w:color="auto"/>
                    <w:left w:val="none" w:sz="0" w:space="0" w:color="auto"/>
                    <w:bottom w:val="none" w:sz="0" w:space="0" w:color="auto"/>
                    <w:right w:val="none" w:sz="0" w:space="0" w:color="auto"/>
                  </w:divBdr>
                </w:div>
              </w:divsChild>
            </w:div>
            <w:div w:id="931011661">
              <w:marLeft w:val="0"/>
              <w:marRight w:val="0"/>
              <w:marTop w:val="0"/>
              <w:marBottom w:val="0"/>
              <w:divBdr>
                <w:top w:val="none" w:sz="0" w:space="0" w:color="auto"/>
                <w:left w:val="none" w:sz="0" w:space="0" w:color="auto"/>
                <w:bottom w:val="none" w:sz="0" w:space="0" w:color="auto"/>
                <w:right w:val="none" w:sz="0" w:space="0" w:color="auto"/>
              </w:divBdr>
              <w:divsChild>
                <w:div w:id="816996260">
                  <w:marLeft w:val="0"/>
                  <w:marRight w:val="0"/>
                  <w:marTop w:val="0"/>
                  <w:marBottom w:val="0"/>
                  <w:divBdr>
                    <w:top w:val="none" w:sz="0" w:space="0" w:color="auto"/>
                    <w:left w:val="none" w:sz="0" w:space="0" w:color="auto"/>
                    <w:bottom w:val="none" w:sz="0" w:space="0" w:color="auto"/>
                    <w:right w:val="none" w:sz="0" w:space="0" w:color="auto"/>
                  </w:divBdr>
                </w:div>
              </w:divsChild>
            </w:div>
            <w:div w:id="149827816">
              <w:marLeft w:val="0"/>
              <w:marRight w:val="0"/>
              <w:marTop w:val="0"/>
              <w:marBottom w:val="0"/>
              <w:divBdr>
                <w:top w:val="none" w:sz="0" w:space="0" w:color="auto"/>
                <w:left w:val="none" w:sz="0" w:space="0" w:color="auto"/>
                <w:bottom w:val="none" w:sz="0" w:space="0" w:color="auto"/>
                <w:right w:val="none" w:sz="0" w:space="0" w:color="auto"/>
              </w:divBdr>
              <w:divsChild>
                <w:div w:id="1280647961">
                  <w:marLeft w:val="0"/>
                  <w:marRight w:val="0"/>
                  <w:marTop w:val="0"/>
                  <w:marBottom w:val="0"/>
                  <w:divBdr>
                    <w:top w:val="none" w:sz="0" w:space="0" w:color="auto"/>
                    <w:left w:val="none" w:sz="0" w:space="0" w:color="auto"/>
                    <w:bottom w:val="none" w:sz="0" w:space="0" w:color="auto"/>
                    <w:right w:val="none" w:sz="0" w:space="0" w:color="auto"/>
                  </w:divBdr>
                </w:div>
              </w:divsChild>
            </w:div>
            <w:div w:id="1736388247">
              <w:marLeft w:val="0"/>
              <w:marRight w:val="0"/>
              <w:marTop w:val="0"/>
              <w:marBottom w:val="0"/>
              <w:divBdr>
                <w:top w:val="none" w:sz="0" w:space="0" w:color="auto"/>
                <w:left w:val="none" w:sz="0" w:space="0" w:color="auto"/>
                <w:bottom w:val="none" w:sz="0" w:space="0" w:color="auto"/>
                <w:right w:val="none" w:sz="0" w:space="0" w:color="auto"/>
              </w:divBdr>
              <w:divsChild>
                <w:div w:id="1443695579">
                  <w:marLeft w:val="0"/>
                  <w:marRight w:val="0"/>
                  <w:marTop w:val="0"/>
                  <w:marBottom w:val="0"/>
                  <w:divBdr>
                    <w:top w:val="none" w:sz="0" w:space="0" w:color="auto"/>
                    <w:left w:val="none" w:sz="0" w:space="0" w:color="auto"/>
                    <w:bottom w:val="none" w:sz="0" w:space="0" w:color="auto"/>
                    <w:right w:val="none" w:sz="0" w:space="0" w:color="auto"/>
                  </w:divBdr>
                </w:div>
              </w:divsChild>
            </w:div>
            <w:div w:id="799766627">
              <w:marLeft w:val="0"/>
              <w:marRight w:val="0"/>
              <w:marTop w:val="0"/>
              <w:marBottom w:val="0"/>
              <w:divBdr>
                <w:top w:val="none" w:sz="0" w:space="0" w:color="auto"/>
                <w:left w:val="none" w:sz="0" w:space="0" w:color="auto"/>
                <w:bottom w:val="none" w:sz="0" w:space="0" w:color="auto"/>
                <w:right w:val="none" w:sz="0" w:space="0" w:color="auto"/>
              </w:divBdr>
              <w:divsChild>
                <w:div w:id="2073849748">
                  <w:marLeft w:val="0"/>
                  <w:marRight w:val="0"/>
                  <w:marTop w:val="0"/>
                  <w:marBottom w:val="0"/>
                  <w:divBdr>
                    <w:top w:val="none" w:sz="0" w:space="0" w:color="auto"/>
                    <w:left w:val="none" w:sz="0" w:space="0" w:color="auto"/>
                    <w:bottom w:val="none" w:sz="0" w:space="0" w:color="auto"/>
                    <w:right w:val="none" w:sz="0" w:space="0" w:color="auto"/>
                  </w:divBdr>
                </w:div>
              </w:divsChild>
            </w:div>
            <w:div w:id="1178543819">
              <w:marLeft w:val="0"/>
              <w:marRight w:val="0"/>
              <w:marTop w:val="0"/>
              <w:marBottom w:val="0"/>
              <w:divBdr>
                <w:top w:val="none" w:sz="0" w:space="0" w:color="auto"/>
                <w:left w:val="none" w:sz="0" w:space="0" w:color="auto"/>
                <w:bottom w:val="none" w:sz="0" w:space="0" w:color="auto"/>
                <w:right w:val="none" w:sz="0" w:space="0" w:color="auto"/>
              </w:divBdr>
              <w:divsChild>
                <w:div w:id="283585668">
                  <w:marLeft w:val="0"/>
                  <w:marRight w:val="0"/>
                  <w:marTop w:val="0"/>
                  <w:marBottom w:val="0"/>
                  <w:divBdr>
                    <w:top w:val="none" w:sz="0" w:space="0" w:color="auto"/>
                    <w:left w:val="none" w:sz="0" w:space="0" w:color="auto"/>
                    <w:bottom w:val="none" w:sz="0" w:space="0" w:color="auto"/>
                    <w:right w:val="none" w:sz="0" w:space="0" w:color="auto"/>
                  </w:divBdr>
                </w:div>
              </w:divsChild>
            </w:div>
            <w:div w:id="1937244673">
              <w:marLeft w:val="0"/>
              <w:marRight w:val="0"/>
              <w:marTop w:val="0"/>
              <w:marBottom w:val="0"/>
              <w:divBdr>
                <w:top w:val="none" w:sz="0" w:space="0" w:color="auto"/>
                <w:left w:val="none" w:sz="0" w:space="0" w:color="auto"/>
                <w:bottom w:val="none" w:sz="0" w:space="0" w:color="auto"/>
                <w:right w:val="none" w:sz="0" w:space="0" w:color="auto"/>
              </w:divBdr>
              <w:divsChild>
                <w:div w:id="1151101122">
                  <w:marLeft w:val="0"/>
                  <w:marRight w:val="0"/>
                  <w:marTop w:val="0"/>
                  <w:marBottom w:val="0"/>
                  <w:divBdr>
                    <w:top w:val="none" w:sz="0" w:space="0" w:color="auto"/>
                    <w:left w:val="none" w:sz="0" w:space="0" w:color="auto"/>
                    <w:bottom w:val="none" w:sz="0" w:space="0" w:color="auto"/>
                    <w:right w:val="none" w:sz="0" w:space="0" w:color="auto"/>
                  </w:divBdr>
                </w:div>
              </w:divsChild>
            </w:div>
            <w:div w:id="1112630731">
              <w:marLeft w:val="0"/>
              <w:marRight w:val="0"/>
              <w:marTop w:val="0"/>
              <w:marBottom w:val="0"/>
              <w:divBdr>
                <w:top w:val="none" w:sz="0" w:space="0" w:color="auto"/>
                <w:left w:val="none" w:sz="0" w:space="0" w:color="auto"/>
                <w:bottom w:val="none" w:sz="0" w:space="0" w:color="auto"/>
                <w:right w:val="none" w:sz="0" w:space="0" w:color="auto"/>
              </w:divBdr>
              <w:divsChild>
                <w:div w:id="1878397184">
                  <w:marLeft w:val="0"/>
                  <w:marRight w:val="0"/>
                  <w:marTop w:val="0"/>
                  <w:marBottom w:val="0"/>
                  <w:divBdr>
                    <w:top w:val="none" w:sz="0" w:space="0" w:color="auto"/>
                    <w:left w:val="none" w:sz="0" w:space="0" w:color="auto"/>
                    <w:bottom w:val="none" w:sz="0" w:space="0" w:color="auto"/>
                    <w:right w:val="none" w:sz="0" w:space="0" w:color="auto"/>
                  </w:divBdr>
                </w:div>
              </w:divsChild>
            </w:div>
            <w:div w:id="1195575470">
              <w:marLeft w:val="0"/>
              <w:marRight w:val="0"/>
              <w:marTop w:val="0"/>
              <w:marBottom w:val="0"/>
              <w:divBdr>
                <w:top w:val="none" w:sz="0" w:space="0" w:color="auto"/>
                <w:left w:val="none" w:sz="0" w:space="0" w:color="auto"/>
                <w:bottom w:val="none" w:sz="0" w:space="0" w:color="auto"/>
                <w:right w:val="none" w:sz="0" w:space="0" w:color="auto"/>
              </w:divBdr>
              <w:divsChild>
                <w:div w:id="1151755416">
                  <w:marLeft w:val="0"/>
                  <w:marRight w:val="0"/>
                  <w:marTop w:val="0"/>
                  <w:marBottom w:val="0"/>
                  <w:divBdr>
                    <w:top w:val="none" w:sz="0" w:space="0" w:color="auto"/>
                    <w:left w:val="none" w:sz="0" w:space="0" w:color="auto"/>
                    <w:bottom w:val="none" w:sz="0" w:space="0" w:color="auto"/>
                    <w:right w:val="none" w:sz="0" w:space="0" w:color="auto"/>
                  </w:divBdr>
                </w:div>
              </w:divsChild>
            </w:div>
            <w:div w:id="857039144">
              <w:marLeft w:val="0"/>
              <w:marRight w:val="0"/>
              <w:marTop w:val="0"/>
              <w:marBottom w:val="0"/>
              <w:divBdr>
                <w:top w:val="none" w:sz="0" w:space="0" w:color="auto"/>
                <w:left w:val="none" w:sz="0" w:space="0" w:color="auto"/>
                <w:bottom w:val="none" w:sz="0" w:space="0" w:color="auto"/>
                <w:right w:val="none" w:sz="0" w:space="0" w:color="auto"/>
              </w:divBdr>
              <w:divsChild>
                <w:div w:id="335155189">
                  <w:marLeft w:val="0"/>
                  <w:marRight w:val="0"/>
                  <w:marTop w:val="0"/>
                  <w:marBottom w:val="0"/>
                  <w:divBdr>
                    <w:top w:val="none" w:sz="0" w:space="0" w:color="auto"/>
                    <w:left w:val="none" w:sz="0" w:space="0" w:color="auto"/>
                    <w:bottom w:val="none" w:sz="0" w:space="0" w:color="auto"/>
                    <w:right w:val="none" w:sz="0" w:space="0" w:color="auto"/>
                  </w:divBdr>
                </w:div>
              </w:divsChild>
            </w:div>
            <w:div w:id="1515802225">
              <w:marLeft w:val="0"/>
              <w:marRight w:val="0"/>
              <w:marTop w:val="0"/>
              <w:marBottom w:val="0"/>
              <w:divBdr>
                <w:top w:val="none" w:sz="0" w:space="0" w:color="auto"/>
                <w:left w:val="none" w:sz="0" w:space="0" w:color="auto"/>
                <w:bottom w:val="none" w:sz="0" w:space="0" w:color="auto"/>
                <w:right w:val="none" w:sz="0" w:space="0" w:color="auto"/>
              </w:divBdr>
              <w:divsChild>
                <w:div w:id="1305306892">
                  <w:marLeft w:val="0"/>
                  <w:marRight w:val="0"/>
                  <w:marTop w:val="0"/>
                  <w:marBottom w:val="0"/>
                  <w:divBdr>
                    <w:top w:val="none" w:sz="0" w:space="0" w:color="auto"/>
                    <w:left w:val="none" w:sz="0" w:space="0" w:color="auto"/>
                    <w:bottom w:val="none" w:sz="0" w:space="0" w:color="auto"/>
                    <w:right w:val="none" w:sz="0" w:space="0" w:color="auto"/>
                  </w:divBdr>
                </w:div>
              </w:divsChild>
            </w:div>
            <w:div w:id="549616534">
              <w:marLeft w:val="0"/>
              <w:marRight w:val="0"/>
              <w:marTop w:val="0"/>
              <w:marBottom w:val="0"/>
              <w:divBdr>
                <w:top w:val="none" w:sz="0" w:space="0" w:color="auto"/>
                <w:left w:val="none" w:sz="0" w:space="0" w:color="auto"/>
                <w:bottom w:val="none" w:sz="0" w:space="0" w:color="auto"/>
                <w:right w:val="none" w:sz="0" w:space="0" w:color="auto"/>
              </w:divBdr>
              <w:divsChild>
                <w:div w:id="1582135295">
                  <w:marLeft w:val="0"/>
                  <w:marRight w:val="0"/>
                  <w:marTop w:val="0"/>
                  <w:marBottom w:val="0"/>
                  <w:divBdr>
                    <w:top w:val="none" w:sz="0" w:space="0" w:color="auto"/>
                    <w:left w:val="none" w:sz="0" w:space="0" w:color="auto"/>
                    <w:bottom w:val="none" w:sz="0" w:space="0" w:color="auto"/>
                    <w:right w:val="none" w:sz="0" w:space="0" w:color="auto"/>
                  </w:divBdr>
                </w:div>
              </w:divsChild>
            </w:div>
            <w:div w:id="1580285500">
              <w:marLeft w:val="0"/>
              <w:marRight w:val="0"/>
              <w:marTop w:val="0"/>
              <w:marBottom w:val="0"/>
              <w:divBdr>
                <w:top w:val="none" w:sz="0" w:space="0" w:color="auto"/>
                <w:left w:val="none" w:sz="0" w:space="0" w:color="auto"/>
                <w:bottom w:val="none" w:sz="0" w:space="0" w:color="auto"/>
                <w:right w:val="none" w:sz="0" w:space="0" w:color="auto"/>
              </w:divBdr>
              <w:divsChild>
                <w:div w:id="1392538127">
                  <w:marLeft w:val="0"/>
                  <w:marRight w:val="0"/>
                  <w:marTop w:val="0"/>
                  <w:marBottom w:val="0"/>
                  <w:divBdr>
                    <w:top w:val="none" w:sz="0" w:space="0" w:color="auto"/>
                    <w:left w:val="none" w:sz="0" w:space="0" w:color="auto"/>
                    <w:bottom w:val="none" w:sz="0" w:space="0" w:color="auto"/>
                    <w:right w:val="none" w:sz="0" w:space="0" w:color="auto"/>
                  </w:divBdr>
                </w:div>
              </w:divsChild>
            </w:div>
            <w:div w:id="277222292">
              <w:marLeft w:val="0"/>
              <w:marRight w:val="0"/>
              <w:marTop w:val="0"/>
              <w:marBottom w:val="0"/>
              <w:divBdr>
                <w:top w:val="none" w:sz="0" w:space="0" w:color="auto"/>
                <w:left w:val="none" w:sz="0" w:space="0" w:color="auto"/>
                <w:bottom w:val="none" w:sz="0" w:space="0" w:color="auto"/>
                <w:right w:val="none" w:sz="0" w:space="0" w:color="auto"/>
              </w:divBdr>
              <w:divsChild>
                <w:div w:id="315037985">
                  <w:marLeft w:val="0"/>
                  <w:marRight w:val="0"/>
                  <w:marTop w:val="0"/>
                  <w:marBottom w:val="0"/>
                  <w:divBdr>
                    <w:top w:val="none" w:sz="0" w:space="0" w:color="auto"/>
                    <w:left w:val="none" w:sz="0" w:space="0" w:color="auto"/>
                    <w:bottom w:val="none" w:sz="0" w:space="0" w:color="auto"/>
                    <w:right w:val="none" w:sz="0" w:space="0" w:color="auto"/>
                  </w:divBdr>
                </w:div>
              </w:divsChild>
            </w:div>
            <w:div w:id="867791849">
              <w:marLeft w:val="0"/>
              <w:marRight w:val="0"/>
              <w:marTop w:val="0"/>
              <w:marBottom w:val="0"/>
              <w:divBdr>
                <w:top w:val="none" w:sz="0" w:space="0" w:color="auto"/>
                <w:left w:val="none" w:sz="0" w:space="0" w:color="auto"/>
                <w:bottom w:val="none" w:sz="0" w:space="0" w:color="auto"/>
                <w:right w:val="none" w:sz="0" w:space="0" w:color="auto"/>
              </w:divBdr>
              <w:divsChild>
                <w:div w:id="775100476">
                  <w:marLeft w:val="0"/>
                  <w:marRight w:val="0"/>
                  <w:marTop w:val="0"/>
                  <w:marBottom w:val="0"/>
                  <w:divBdr>
                    <w:top w:val="none" w:sz="0" w:space="0" w:color="auto"/>
                    <w:left w:val="none" w:sz="0" w:space="0" w:color="auto"/>
                    <w:bottom w:val="none" w:sz="0" w:space="0" w:color="auto"/>
                    <w:right w:val="none" w:sz="0" w:space="0" w:color="auto"/>
                  </w:divBdr>
                </w:div>
              </w:divsChild>
            </w:div>
            <w:div w:id="6953484">
              <w:marLeft w:val="0"/>
              <w:marRight w:val="0"/>
              <w:marTop w:val="0"/>
              <w:marBottom w:val="0"/>
              <w:divBdr>
                <w:top w:val="none" w:sz="0" w:space="0" w:color="auto"/>
                <w:left w:val="none" w:sz="0" w:space="0" w:color="auto"/>
                <w:bottom w:val="none" w:sz="0" w:space="0" w:color="auto"/>
                <w:right w:val="none" w:sz="0" w:space="0" w:color="auto"/>
              </w:divBdr>
              <w:divsChild>
                <w:div w:id="186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ms.gov/Medicare/Medicare-Fee-for-Service-Payment/PhysicianFeeSched/PFS-Federal-Regulation-Notices-Items/CMS-1631-FC.html" TargetMode="External"/><Relationship Id="rId12" Type="http://schemas.openxmlformats.org/officeDocument/2006/relationships/hyperlink" Target="https://www.cms.gov/Newsroom/MediaReleaseDatabase/Fact-sheets/2015-Fact-sheets-items/2015-10-30-2.html" TargetMode="External"/><Relationship Id="rId13" Type="http://schemas.openxmlformats.org/officeDocument/2006/relationships/hyperlink" Target="http://www.regulations.gov/#!documentDetail;D=CMS-2015-0081-229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ederalregister.gov/articles/2015/11/16/2015-28005/medicare-program-revisions-to-payment-policies-under-the-physician-fee-schedule-and-other-revisions" TargetMode="External"/><Relationship Id="rId9" Type="http://schemas.openxmlformats.org/officeDocument/2006/relationships/hyperlink" Target="mailto:liz@isass.org" TargetMode="External"/><Relationship Id="rId10" Type="http://schemas.openxmlformats.org/officeDocument/2006/relationships/hyperlink" Target="https://www.federalregister.gov/articles/2015/11/16/2015-28005/medicare-program-revisions-to-payment-policies-under-the-physician-fee-schedule-and-other-re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3700</Words>
  <Characters>21092</Characters>
  <Application>Microsoft Macintosh Word</Application>
  <DocSecurity>0</DocSecurity>
  <Lines>175</Lines>
  <Paragraphs>49</Paragraphs>
  <ScaleCrop>false</ScaleCrop>
  <Company/>
  <LinksUpToDate>false</LinksUpToDate>
  <CharactersWithSpaces>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Kerwin Vogt</dc:creator>
  <cp:keywords/>
  <dc:description/>
  <cp:lastModifiedBy>Elizabeth Kerwin Vogt</cp:lastModifiedBy>
  <cp:revision>13</cp:revision>
  <dcterms:created xsi:type="dcterms:W3CDTF">2015-11-04T19:27:00Z</dcterms:created>
  <dcterms:modified xsi:type="dcterms:W3CDTF">2015-11-18T20:25:00Z</dcterms:modified>
</cp:coreProperties>
</file>